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6487" w:rsidRPr="005C5A10" w:rsidRDefault="00296487">
      <w:pPr>
        <w:widowControl w:val="0"/>
        <w:pBdr>
          <w:top w:val="nil"/>
          <w:left w:val="nil"/>
          <w:bottom w:val="nil"/>
          <w:right w:val="nil"/>
          <w:between w:val="nil"/>
        </w:pBdr>
        <w:spacing w:after="0" w:line="276" w:lineRule="auto"/>
        <w:rPr>
          <w:rFonts w:ascii="Arial" w:eastAsia="Arial" w:hAnsi="Arial" w:cs="Arial"/>
          <w:noProof/>
          <w:color w:val="000000"/>
          <w:sz w:val="22"/>
          <w:szCs w:val="22"/>
          <w:lang w:val="en-US"/>
        </w:rPr>
      </w:pPr>
    </w:p>
    <w:tbl>
      <w:tblPr>
        <w:tblStyle w:val="a"/>
        <w:tblW w:w="9323" w:type="dxa"/>
        <w:tblInd w:w="-108" w:type="dxa"/>
        <w:tblLayout w:type="fixed"/>
        <w:tblLook w:val="0000" w:firstRow="0" w:lastRow="0" w:firstColumn="0" w:lastColumn="0" w:noHBand="0" w:noVBand="0"/>
      </w:tblPr>
      <w:tblGrid>
        <w:gridCol w:w="3227"/>
        <w:gridCol w:w="6096"/>
      </w:tblGrid>
      <w:tr w:rsidR="00296487" w:rsidRPr="005C5A10">
        <w:tc>
          <w:tcPr>
            <w:tcW w:w="3227" w:type="dxa"/>
          </w:tcPr>
          <w:p w:rsidR="00296487" w:rsidRPr="005C5A10" w:rsidRDefault="00EF511F">
            <w:pPr>
              <w:spacing w:after="0" w:line="240" w:lineRule="auto"/>
              <w:jc w:val="center"/>
              <w:rPr>
                <w:rFonts w:ascii="Times New Roman" w:eastAsia="Times New Roman" w:hAnsi="Times New Roman" w:cs="Times New Roman"/>
                <w:noProof/>
                <w:sz w:val="28"/>
                <w:szCs w:val="28"/>
                <w:lang w:val="en-US"/>
              </w:rPr>
            </w:pPr>
            <w:r w:rsidRPr="005C5A10">
              <w:rPr>
                <w:noProof/>
                <w:lang w:val="en-US"/>
              </w:rPr>
              <mc:AlternateContent>
                <mc:Choice Requires="wps">
                  <w:drawing>
                    <wp:anchor distT="0" distB="0" distL="114300" distR="114300" simplePos="0" relativeHeight="251658240" behindDoc="0" locked="0" layoutInCell="1" hidden="0" allowOverlap="1" wp14:anchorId="686A0D58" wp14:editId="478EE606">
                      <wp:simplePos x="0" y="0"/>
                      <wp:positionH relativeFrom="column">
                        <wp:posOffset>671195</wp:posOffset>
                      </wp:positionH>
                      <wp:positionV relativeFrom="paragraph">
                        <wp:posOffset>222885</wp:posOffset>
                      </wp:positionV>
                      <wp:extent cx="514350" cy="0"/>
                      <wp:effectExtent l="0" t="0" r="19050" b="19050"/>
                      <wp:wrapNone/>
                      <wp:docPr id="2" name="Straight Arrow Connector 2"/>
                      <wp:cNvGraphicFramePr/>
                      <a:graphic xmlns:a="http://schemas.openxmlformats.org/drawingml/2006/main">
                        <a:graphicData uri="http://schemas.microsoft.com/office/word/2010/wordprocessingShape">
                          <wps:wsp>
                            <wps:cNvCnPr/>
                            <wps:spPr>
                              <a:xfrm flipH="1">
                                <a:off x="0" y="0"/>
                                <a:ext cx="514350" cy="0"/>
                              </a:xfrm>
                              <a:prstGeom prst="straightConnector1">
                                <a:avLst/>
                              </a:prstGeom>
                              <a:solidFill>
                                <a:srgbClr val="FFFFFF"/>
                              </a:solidFill>
                              <a:ln w="9525" cap="flat" cmpd="sng">
                                <a:solidFill>
                                  <a:srgbClr val="000000"/>
                                </a:solidFill>
                                <a:prstDash val="solid"/>
                                <a:miter lim="800000"/>
                                <a:headEnd type="none" w="med" len="med"/>
                                <a:tailEnd type="none" w="med" len="med"/>
                              </a:ln>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2" o:spid="_x0000_s1026" type="#_x0000_t32" style="position:absolute;margin-left:52.85pt;margin-top:17.55pt;width:40.5pt;height:0;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2157AEAAPUDAAAOAAAAZHJzL2Uyb0RvYy54bWysU8uOEzEQvCPxD5bvZJJA0DLKZIUSAgcE&#10;kZb9gI4fM5b8Uttkkr+n7WSzu8BhhZiD5bbdNVXV3cvbo7PsoDCZ4Ds+m0w5U14EaXzf8fsf2zc3&#10;nKUMXoINXnX8pBK/Xb1+tRxjq+ZhCFYqZATiUzvGjg85x7ZpkhiUgzQJUXm61AEdZAqxbyTCSOjO&#10;NvPp9H0zBpQRg1Ap0enmfMlXFV9rJfJ3rZPKzHacuOW6Yl33ZW1WS2h7hDgYcaEB/8DCgfH00yvU&#10;BjKwn2j+gHJGYEhB54kIrglaG6GqBlIzm/6m5m6AqKoWMifFq03p/8GKb4cdMiM7PufMg6MS3WUE&#10;0w+ZfUQMI1sH78nGgGxe3Bpjailp7Xd4iVLcYZF+1OiYtiZ+oUaoZpA8dqxen65eq2Nmgg4Xs3dv&#10;F1QR8XDVnBEKUsSUP6vgWNl0PF0IXZmc0eHwNWXiQIkPCSU5BWvk1lhbA+z3a4vsAFT/bf2KCEp5&#10;9sx6Nnb8w2K+IEJAbagtZNq6SMYk31c1zzLSU+Bp/f4GXIhtIA1nAhWhPIPWmUx9b43r+M01G9pB&#10;gfzkJcunSJXwNDK8MHNKcmYVTVjZVYAMxr7kJUm1nhSXup0rVXb7IE+1gPWceqt6cpmD0rxP45r9&#10;OK2rXwAAAP//AwBQSwMEFAAGAAgAAAAhALcv7jHdAAAACQEAAA8AAABkcnMvZG93bnJldi54bWxM&#10;j8FOwzAQRO9I/IO1SNyonZaWKI1TIQQnJKS2uXBz4yVJiddR7LYpX89WHMpxZp9mZ/LV6DpxxCG0&#10;njQkEwUCqfK2pVpDuX17SEGEaMiazhNqOGOAVXF7k5vM+hOt8biJteAQCpnR0MTYZ1KGqkFnwsT3&#10;SHz78oMzkeVQSzuYE4e7Tk6VWkhnWuIPjenxpcHqe3NwGuqfckhUuq3eXz/L/fTjkc5rO9P6/m58&#10;XoKIOMYrDJf6XB0K7rTzB7JBdKzV/IlRDbN5AuICpAs2dn+GLHL5f0HxCwAA//8DAFBLAQItABQA&#10;BgAIAAAAIQC2gziS/gAAAOEBAAATAAAAAAAAAAAAAAAAAAAAAABbQ29udGVudF9UeXBlc10ueG1s&#10;UEsBAi0AFAAGAAgAAAAhADj9If/WAAAAlAEAAAsAAAAAAAAAAAAAAAAALwEAAF9yZWxzLy5yZWxz&#10;UEsBAi0AFAAGAAgAAAAhAB1jbXnsAQAA9QMAAA4AAAAAAAAAAAAAAAAALgIAAGRycy9lMm9Eb2Mu&#10;eG1sUEsBAi0AFAAGAAgAAAAhALcv7jHdAAAACQEAAA8AAAAAAAAAAAAAAAAARgQAAGRycy9kb3du&#10;cmV2LnhtbFBLBQYAAAAABAAEAPMAAABQBQAAAAA=&#10;" filled="t">
                      <v:stroke joinstyle="miter"/>
                    </v:shape>
                  </w:pict>
                </mc:Fallback>
              </mc:AlternateContent>
            </w:r>
            <w:r w:rsidR="00A31090" w:rsidRPr="005C5A10">
              <w:rPr>
                <w:rFonts w:ascii="Times New Roman" w:eastAsia="Times New Roman" w:hAnsi="Times New Roman" w:cs="Times New Roman"/>
                <w:b/>
                <w:bCs/>
                <w:noProof/>
                <w:sz w:val="28"/>
                <w:szCs w:val="28"/>
                <w:lang w:val="en-US"/>
              </w:rPr>
              <w:t>BỘ TƯ PHÁP</w:t>
            </w:r>
          </w:p>
        </w:tc>
        <w:tc>
          <w:tcPr>
            <w:tcW w:w="6096" w:type="dxa"/>
          </w:tcPr>
          <w:p w:rsidR="00296487" w:rsidRPr="005C5A10" w:rsidRDefault="00A31090">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CỘNG HÒA XÃ HỘI CHỦ NGHĨA VIỆT NAM</w:t>
            </w:r>
          </w:p>
          <w:p w:rsidR="00296487" w:rsidRPr="005C5A10" w:rsidRDefault="00A31090">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Độc lập - Tự do - Hạnh phúc</w:t>
            </w:r>
          </w:p>
          <w:p w:rsidR="00296487" w:rsidRPr="005C5A10" w:rsidRDefault="00A31090">
            <w:pPr>
              <w:spacing w:after="0" w:line="240" w:lineRule="auto"/>
              <w:jc w:val="center"/>
              <w:rPr>
                <w:rFonts w:ascii="Times New Roman" w:eastAsia="Times New Roman" w:hAnsi="Times New Roman" w:cs="Times New Roman"/>
                <w:noProof/>
                <w:sz w:val="28"/>
                <w:szCs w:val="28"/>
                <w:lang w:val="en-US"/>
              </w:rPr>
            </w:pPr>
            <w:r w:rsidRPr="005C5A10">
              <w:rPr>
                <w:noProof/>
                <w:lang w:val="en-US"/>
              </w:rPr>
              <mc:AlternateContent>
                <mc:Choice Requires="wps">
                  <w:drawing>
                    <wp:anchor distT="0" distB="0" distL="114300" distR="114300" simplePos="0" relativeHeight="251659264" behindDoc="0" locked="0" layoutInCell="1" hidden="0" allowOverlap="1" wp14:anchorId="701C3362" wp14:editId="04EC23C7">
                      <wp:simplePos x="0" y="0"/>
                      <wp:positionH relativeFrom="column">
                        <wp:posOffset>1456819</wp:posOffset>
                      </wp:positionH>
                      <wp:positionV relativeFrom="paragraph">
                        <wp:posOffset>10156</wp:posOffset>
                      </wp:positionV>
                      <wp:extent cx="799106" cy="0"/>
                      <wp:effectExtent l="0" t="0" r="20320" b="19050"/>
                      <wp:wrapNone/>
                      <wp:docPr id="1" name=""/>
                      <wp:cNvGraphicFramePr/>
                      <a:graphic xmlns:a="http://schemas.openxmlformats.org/drawingml/2006/main">
                        <a:graphicData uri="http://schemas.microsoft.com/office/word/2010/wordprocessingShape">
                          <wps:wsp>
                            <wps:cNvCnPr/>
                            <wps:spPr>
                              <a:xfrm>
                                <a:off x="0" y="0"/>
                                <a:ext cx="799106" cy="0"/>
                              </a:xfrm>
                              <a:prstGeom prst="straightConnector1">
                                <a:avLst/>
                              </a:prstGeom>
                              <a:noFill/>
                              <a:ln w="9525" cap="flat" cmpd="sng">
                                <a:solidFill>
                                  <a:srgbClr val="000000"/>
                                </a:solidFill>
                                <a:prstDash val="solid"/>
                                <a:miter lim="800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 id="Straight Arrow Connector 1" o:spid="_x0000_s1026" type="#_x0000_t32" style="position:absolute;margin-left:114.7pt;margin-top:.8pt;width:62.9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p8O3gEAAL4DAAAOAAAAZHJzL2Uyb0RvYy54bWysU9tu2zAMfR+wfxD0vjgJ0K4x4hRDsu5l&#10;2AK0+wBGlm0BuoHU4uTvRympu8vDgKJ+kClRhzw8pNb3J2fFUSOZ4Bu5mM2l0F6F1vi+kT+eHj7c&#10;SUEJfAs2eN3IsyZ5v3n/bj3GWi/DEGyrUXAQT/UYGzmkFOuqIjVoBzQLUXt2dgEdJN5iX7UII0d3&#10;tlrO57fVGLCNGJQm4tPdxSk3JX7XaZW+dx3pJGwjmVsqK5b1kNdqs4a6R4iDUVca8AoWDoznpFOo&#10;HSQQP9H8E8oZhYFCl2YquCp0nVG61MDVLOZ/VfM4QNSlFhaH4iQTvV1Y9e24R2Fa7p0UHhy36DEh&#10;mH5I4hNiGMU2eM8yBhSLrNYYqWbQ1u/xuqO4x1z6qUOX/1yUOBWFz5PC+pSE4sOPq9VifiuFenZV&#10;L7iIlL7o4EQ2GklXGlP+RREYjl8pcWYGPgNyUh8ejLWlm9aLsZGrm+UN5wGeqc5CYtNFrpJ8X8JQ&#10;sKbNkAwm7A9bi+IIeUrKl0vlFH9cy/l2QMPlXnFd5seZxENsjWvk3YSGetDQfvatSOfIsnqef5mZ&#10;kZPCan4tbBTCCYz9/z1mYz2Tyg24SJ6tQ2jPpRPlnIek0L4OdJ7C3/cF/fLsNr8AAAD//wMAUEsD&#10;BBQABgAIAAAAIQDQDeyw3AAAAAcBAAAPAAAAZHJzL2Rvd25yZXYueG1sTI7BTsMwEETvSPyDtUjc&#10;qENKKghxKoRUceCUUoR6c+MliWKvQ+y2oV/fhQscR28084rl5Kw44Bg6TwpuZwkIpNqbjhoFm7fV&#10;zT2IEDUZbT2hgm8MsCwvLwqdG3+kCg/r2AgeoZBrBW2MQy5lqFt0Osz8gMTs049OR45jI82ojzzu&#10;rEyTZCGd7ogfWj3gc4t1v947BX7+2nr7scr69ypWffWy3XydtkpdX01PjyAiTvGvDD/6rA4lO+38&#10;nkwQVkGaPtxxlcECBPN5lqUgdr9ZloX871+eAQAA//8DAFBLAQItABQABgAIAAAAIQC2gziS/gAA&#10;AOEBAAATAAAAAAAAAAAAAAAAAAAAAABbQ29udGVudF9UeXBlc10ueG1sUEsBAi0AFAAGAAgAAAAh&#10;ADj9If/WAAAAlAEAAAsAAAAAAAAAAAAAAAAALwEAAF9yZWxzLy5yZWxzUEsBAi0AFAAGAAgAAAAh&#10;AIoGnw7eAQAAvgMAAA4AAAAAAAAAAAAAAAAALgIAAGRycy9lMm9Eb2MueG1sUEsBAi0AFAAGAAgA&#10;AAAhANAN7LDcAAAABwEAAA8AAAAAAAAAAAAAAAAAOAQAAGRycy9kb3ducmV2LnhtbFBLBQYAAAAA&#10;BAAEAPMAAABBBQAAAAA=&#10;">
                      <v:stroke startarrowwidth="narrow" startarrowlength="short" endarrowwidth="narrow" endarrowlength="short" joinstyle="miter"/>
                    </v:shape>
                  </w:pict>
                </mc:Fallback>
              </mc:AlternateContent>
            </w:r>
          </w:p>
          <w:p w:rsidR="00296487" w:rsidRPr="005C5A10" w:rsidRDefault="00A31090" w:rsidP="00A31090">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i/>
                <w:iCs/>
                <w:noProof/>
                <w:sz w:val="28"/>
                <w:szCs w:val="28"/>
                <w:lang w:val="en-US"/>
              </w:rPr>
              <w:t>Hà Nội, ngày       tháng       năm 202</w:t>
            </w:r>
            <w:r>
              <w:rPr>
                <w:rFonts w:ascii="Times New Roman" w:eastAsia="Times New Roman" w:hAnsi="Times New Roman" w:cs="Times New Roman"/>
                <w:i/>
                <w:iCs/>
                <w:noProof/>
                <w:sz w:val="28"/>
                <w:szCs w:val="28"/>
                <w:lang w:val="en-US"/>
              </w:rPr>
              <w:t>6</w:t>
            </w:r>
          </w:p>
        </w:tc>
      </w:tr>
    </w:tbl>
    <w:p w:rsidR="00296487" w:rsidRPr="005C5A10" w:rsidRDefault="00A31090">
      <w:pPr>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 </w:t>
      </w:r>
    </w:p>
    <w:p w:rsidR="00296487" w:rsidRPr="005C5A10" w:rsidRDefault="00A31090">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 xml:space="preserve">BẢN ĐÁNH GIÁ THỦ TỤC HÀNH CHÍNH, </w:t>
      </w:r>
      <w:bookmarkStart w:id="0" w:name="_GoBack"/>
      <w:bookmarkEnd w:id="0"/>
    </w:p>
    <w:p w:rsidR="00296487" w:rsidRPr="005C5A10" w:rsidRDefault="00A31090">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 xml:space="preserve">VIỆC PHÂN QUYỀN, PHÂN CẤP, VIỆC ỨNG DỤNG, THÚC ĐẨY </w:t>
      </w:r>
    </w:p>
    <w:p w:rsidR="00296487" w:rsidRPr="005C5A10" w:rsidRDefault="00A31090">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PHÁT TRIỂN KHOA HỌC, CÔNG NGHỆ, ĐỔI MỚI SÁNG TẠO VÀ CHUYỂN ĐỔI SỐ, BẢO ĐẢM BÌNH ĐẲNG GIỚI, VIỆC THỰC HIỆN CHÍNH SÁCH DÂN TỘC TRONG DỰ ÁN LUẬT HỘ TỊCH (SỬA ĐỔI)</w:t>
      </w:r>
    </w:p>
    <w:p w:rsidR="00296487" w:rsidRPr="005C5A10" w:rsidRDefault="00296487">
      <w:pPr>
        <w:ind w:firstLine="567"/>
        <w:jc w:val="both"/>
        <w:rPr>
          <w:rFonts w:ascii="Times New Roman" w:eastAsia="Times New Roman" w:hAnsi="Times New Roman" w:cs="Times New Roman"/>
          <w:noProof/>
          <w:sz w:val="28"/>
          <w:szCs w:val="28"/>
          <w:lang w:val="en-US"/>
        </w:rPr>
      </w:pP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Thực hiện quy định của Luật Ban hành văn bản quy phạm pháp luật, Bộ Tư pháp đã tiến hành đánh g</w:t>
      </w:r>
      <w:r w:rsidRPr="005C5A10">
        <w:rPr>
          <w:rFonts w:ascii="Times New Roman" w:eastAsia="Times New Roman" w:hAnsi="Times New Roman" w:cs="Times New Roman"/>
          <w:noProof/>
          <w:sz w:val="28"/>
          <w:szCs w:val="28"/>
          <w:lang w:val="en-US"/>
        </w:rPr>
        <w:t>iá thủ tục hành chính, việc phân quyền, phân cấp, việc ứng dụng, thúc đẩy phát triển khoa học, công nghệ, đổi mới sáng tạo và chuyển đổi số, việc bảo đảm bình đẳng giới, việc thực hiện chính sách dân tộc trong dự án Luật Hộ tịch (sửa đổi). Kết quả như sau:</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I. TỔ CHỨC THỰC HIỆN ĐÁNH GIÁ</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1. Bối cảnh xây dựng dự án, dự thảo văn bản quy phạm pháp luật</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1.1. Cơ sở chính trị, pháp lý</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1.1.1. Cơ sở chính trị</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Ban chấp hành Trung ương Đảng, Bộ Chính trị có nhiều chỉ đạo về việc tập trung các nguồn lực để hoàn thiện thể chế, cơ chế vận hành các cơ quan, đơn vị, tổ chức của hệ thống chính trị sắp xếp đơn vị hành chính các cấp, xây dựng chính quyền địa phương 02 cấ</w:t>
      </w:r>
      <w:r w:rsidRPr="005C5A10">
        <w:rPr>
          <w:rFonts w:ascii="Times New Roman" w:eastAsia="Times New Roman" w:hAnsi="Times New Roman" w:cs="Times New Roman"/>
          <w:noProof/>
          <w:sz w:val="28"/>
          <w:szCs w:val="28"/>
          <w:lang w:val="en-US"/>
        </w:rPr>
        <w:t xml:space="preserve">p; phân định rõ thẩm quyền, trách nhiệm của Quốc hội, Chính phủ, xác định rõ trách nhiệm giữa Trung ương và địa phương, giữa các cấp chính quyền địa phương; khẩn trương sửa đổi, bổ sung, thay thế, bãi bỏ hoặc ban hành mới các văn bản pháp luật đáp ứng yêu </w:t>
      </w:r>
      <w:r w:rsidRPr="005C5A10">
        <w:rPr>
          <w:rFonts w:ascii="Times New Roman" w:eastAsia="Times New Roman" w:hAnsi="Times New Roman" w:cs="Times New Roman"/>
          <w:noProof/>
          <w:sz w:val="28"/>
          <w:szCs w:val="28"/>
          <w:lang w:val="en-US"/>
        </w:rPr>
        <w:t xml:space="preserve">cầu thực hiện chủ trương tinh gọn tổ chức bộ máy của hệ thống chính trị, sắp xếp đơn vị hành chính, gắn với phân cấp, phân quyền tối đa theo phương châm “địa phương quyết, địa phương làm, địa phương chịu trách nhiệm”; đồng thời đổi mới toàn diện việc giải </w:t>
      </w:r>
      <w:r w:rsidRPr="005C5A10">
        <w:rPr>
          <w:rFonts w:ascii="Times New Roman" w:eastAsia="Times New Roman" w:hAnsi="Times New Roman" w:cs="Times New Roman"/>
          <w:noProof/>
          <w:sz w:val="28"/>
          <w:szCs w:val="28"/>
          <w:lang w:val="en-US"/>
        </w:rPr>
        <w:t>quyết thủ tục hành chính (TTHC), cung cấp dịch vụ công không phụ thuộc địa giới hành chính; nâng cao chất lượng dịch vụ công trực tuyến, dịch vụ số cho người dân và doanh nghiệp, hướng tới cung cấp dịch vụ công trực tuyến toàn trình, cá nhân hoá và dựa trê</w:t>
      </w:r>
      <w:r w:rsidRPr="005C5A10">
        <w:rPr>
          <w:rFonts w:ascii="Times New Roman" w:eastAsia="Times New Roman" w:hAnsi="Times New Roman" w:cs="Times New Roman"/>
          <w:noProof/>
          <w:sz w:val="28"/>
          <w:szCs w:val="28"/>
          <w:lang w:val="en-US"/>
        </w:rPr>
        <w:t xml:space="preserve">n dữ liệu” (Nghị quyết số 60-NQ/TW ngày 12/4/2025 của Ban Chấp hành Trung ương tại Hội nghị lần thứ 11 </w:t>
      </w:r>
      <w:r w:rsidRPr="005C5A10">
        <w:rPr>
          <w:rFonts w:ascii="Times New Roman" w:eastAsia="Times New Roman" w:hAnsi="Times New Roman" w:cs="Times New Roman"/>
          <w:noProof/>
          <w:sz w:val="28"/>
          <w:szCs w:val="28"/>
          <w:lang w:val="en-US"/>
        </w:rPr>
        <w:lastRenderedPageBreak/>
        <w:t xml:space="preserve">của Ban Chấp hành Trung ương Đảng khoá XIII; Kết luận số 21/KL/TW ngày 24/1/2025 của Ban Chấp hành Trung ương Đảng khoá XIII về việc tổng kết Nghị quyết </w:t>
      </w:r>
      <w:r w:rsidRPr="005C5A10">
        <w:rPr>
          <w:rFonts w:ascii="Times New Roman" w:eastAsia="Times New Roman" w:hAnsi="Times New Roman" w:cs="Times New Roman"/>
          <w:noProof/>
          <w:sz w:val="28"/>
          <w:szCs w:val="28"/>
          <w:lang w:val="en-US"/>
        </w:rPr>
        <w:t>số 18-NQ/TW; Nghị quyết số 66-NQ/TW ngày 30/4/2025 của Bộ Chính trị về đổi mới công tác xây dựng và thi hành pháp luật đáp ứng yêu cầu phát triển đất nước trong kỷ nguyên mới).</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Ngoài ra, các yêu cầu về đổi mới toàn diện việc giải quyết TTHC, cung cấp dịch</w:t>
      </w:r>
      <w:r w:rsidRPr="005C5A10">
        <w:rPr>
          <w:rFonts w:ascii="Times New Roman" w:eastAsia="Times New Roman" w:hAnsi="Times New Roman" w:cs="Times New Roman"/>
          <w:noProof/>
          <w:sz w:val="28"/>
          <w:szCs w:val="28"/>
          <w:lang w:val="en-US"/>
        </w:rPr>
        <w:t xml:space="preserve"> vụ công không phụ thuộc địa giới hành chính; nâng cao chất lượng dịch vụ công trực tuyến, dịch vụ số cho người dân và doanh nghiệp, hướng tới cung cấp dịch vụ công trực tuyến toàn trình, cá nhân hoá và dựa trên dữ liệu; thực hiện đơn giản hóa TTHC, cắt bỏ</w:t>
      </w:r>
      <w:r w:rsidRPr="005C5A10">
        <w:rPr>
          <w:rFonts w:ascii="Times New Roman" w:eastAsia="Times New Roman" w:hAnsi="Times New Roman" w:cs="Times New Roman"/>
          <w:noProof/>
          <w:sz w:val="28"/>
          <w:szCs w:val="28"/>
          <w:lang w:val="en-US"/>
        </w:rPr>
        <w:t xml:space="preserve"> các thủ tục không cần thiết, gây phiền hà cho người dân và doanh nghiệp…cũng là những yêu cầu cấp thiết hiện nay của Đảng và Nhà nước (Nghị quyết số 27 NQ/TW ngày 09/11/2022 tại Hội nghị lần thứ sáu Ban Chấp hành Trung ương Đảng khóa XIII về tiếp tục xây </w:t>
      </w:r>
      <w:r w:rsidRPr="005C5A10">
        <w:rPr>
          <w:rFonts w:ascii="Times New Roman" w:eastAsia="Times New Roman" w:hAnsi="Times New Roman" w:cs="Times New Roman"/>
          <w:noProof/>
          <w:sz w:val="28"/>
          <w:szCs w:val="28"/>
          <w:lang w:val="en-US"/>
        </w:rPr>
        <w:t>dựng và hoàn thiện Nhà nước pháp quyền xã hội chủ nghĩa Việt Nam trong giai đoạn mới; Nghị quyết số 57-NQ/TW ngày 22/12/2024 của Bộ Chính trị về đột phá phát triển khoa học, công nghệ, đổi mới sáng tạo và chuyển đổi số quốc gia; Nghị quyết số 66/NQ-CP ngày</w:t>
      </w:r>
      <w:r w:rsidRPr="005C5A10">
        <w:rPr>
          <w:rFonts w:ascii="Times New Roman" w:eastAsia="Times New Roman" w:hAnsi="Times New Roman" w:cs="Times New Roman"/>
          <w:noProof/>
          <w:sz w:val="28"/>
          <w:szCs w:val="28"/>
          <w:lang w:val="en-US"/>
        </w:rPr>
        <w:t xml:space="preserve"> 16/3/2025 của Chính phủ về Chương trình cắt giảm, đơn giản hóa TTHC liên quan đến hoạt động sản xuất, kinh doanh năm 2025 và 2026…).</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1.1.2. Cơ sở pháp lý</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Để bảo đảm cơ sở pháp lý cho việc sắp xếp đơn vị hành chính các cấp và xây dựng mô hình tổ chức chính</w:t>
      </w:r>
      <w:r w:rsidRPr="005C5A10">
        <w:rPr>
          <w:rFonts w:ascii="Times New Roman" w:eastAsia="Times New Roman" w:hAnsi="Times New Roman" w:cs="Times New Roman"/>
          <w:noProof/>
          <w:sz w:val="28"/>
          <w:szCs w:val="28"/>
          <w:lang w:val="en-US"/>
        </w:rPr>
        <w:t xml:space="preserve"> quyền địa phương 02 cấp, ngày 16/6/2025, Quốc hội đã thông qua Nghị quyết số 203/2025/QH15 của Quốc hội về việc sửa đổi, bổ sung một số điều của Hiến pháp nước Cộng hoà XHCN Việt Nam, trong đó quy định: “Các đơn vị hành chính của nước Cộng hòa xã hội chủ </w:t>
      </w:r>
      <w:r w:rsidRPr="005C5A10">
        <w:rPr>
          <w:rFonts w:ascii="Times New Roman" w:eastAsia="Times New Roman" w:hAnsi="Times New Roman" w:cs="Times New Roman"/>
          <w:noProof/>
          <w:sz w:val="28"/>
          <w:szCs w:val="28"/>
          <w:lang w:val="en-US"/>
        </w:rPr>
        <w:t>nghĩa Việt Nam được tổ chức thành hai cấp, gồm tỉnh, thành phố trực thuộc trung ương và các đơn vị hành chính dưới tỉnh, thành phố trực thuộc trung ương do luật định” (Khoản 4 Điều 1 sửa đổi, bổ sung Điều 110 Hiến pháp năm 2013).</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Luật Tổ chức chính quyền đ</w:t>
      </w:r>
      <w:r w:rsidRPr="005C5A10">
        <w:rPr>
          <w:rFonts w:ascii="Times New Roman" w:eastAsia="Times New Roman" w:hAnsi="Times New Roman" w:cs="Times New Roman"/>
          <w:noProof/>
          <w:sz w:val="28"/>
          <w:szCs w:val="28"/>
          <w:lang w:val="en-US"/>
        </w:rPr>
        <w:t xml:space="preserve">ịa phương số 72/2025/QH15 ngày 16/6/2025, Luật Tổ chức chính phủ số 63/2025/QH15 ngày 18/02/2025  quy định về đơn vị hành chính của nước Cộng hòa xã hội chủ nghĩa Việt Nam theo mô hình chính quyền địa phương 02 cấp, phân định rõ thẩm quyền của chính quyền </w:t>
      </w:r>
      <w:r w:rsidRPr="005C5A10">
        <w:rPr>
          <w:rFonts w:ascii="Times New Roman" w:eastAsia="Times New Roman" w:hAnsi="Times New Roman" w:cs="Times New Roman"/>
          <w:noProof/>
          <w:sz w:val="28"/>
          <w:szCs w:val="28"/>
          <w:lang w:val="en-US"/>
        </w:rPr>
        <w:t xml:space="preserve">địa phương.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Bên cạnh đó, Nghị quyết số 190/2025/QH15 ngày 19/02/2025 của Quốc hội quy định về xử lý các nội dung liên quan đến sắp xếp tổ chức bộ máy nhà nước, Luật Tổ chức chính phủ cũng quy định: “Cơ quan, người có thẩm quyền phải ban hành văn bản quy p</w:t>
      </w:r>
      <w:r w:rsidRPr="005C5A10">
        <w:rPr>
          <w:rFonts w:ascii="Times New Roman" w:eastAsia="Times New Roman" w:hAnsi="Times New Roman" w:cs="Times New Roman"/>
          <w:noProof/>
          <w:sz w:val="28"/>
          <w:szCs w:val="28"/>
          <w:lang w:val="en-US"/>
        </w:rPr>
        <w:t xml:space="preserve">hạm pháp luật theo thẩm quyền hoặc trình cấp có </w:t>
      </w:r>
      <w:r w:rsidRPr="005C5A10">
        <w:rPr>
          <w:rFonts w:ascii="Times New Roman" w:eastAsia="Times New Roman" w:hAnsi="Times New Roman" w:cs="Times New Roman"/>
          <w:noProof/>
          <w:sz w:val="28"/>
          <w:szCs w:val="28"/>
          <w:lang w:val="en-US"/>
        </w:rPr>
        <w:lastRenderedPageBreak/>
        <w:t>thẩm quyền ban hành văn bản quy phạm pháp luật theo trình tự, thủ tục rút gọn để xử lý các văn bản chịu sự tác động do sắp xếp tổ chức bộ máy nhà nước, bảo đảm hoàn thành trước ngày 01 tháng 3 năm 2027”; “Trư</w:t>
      </w:r>
      <w:r w:rsidRPr="005C5A10">
        <w:rPr>
          <w:rFonts w:ascii="Times New Roman" w:eastAsia="Times New Roman" w:hAnsi="Times New Roman" w:cs="Times New Roman"/>
          <w:noProof/>
          <w:sz w:val="28"/>
          <w:szCs w:val="28"/>
          <w:lang w:val="en-US"/>
        </w:rPr>
        <w:t>ờng hợp luật, nghị quyết của Quốc hội, pháp lệnh, nghị quyết của Ủy ban Thường vụ Quốc hội quy định về nhiệm vụ, quyền hạn của Chính phủ, Thủ tướng Chính phủ, Bộ trưởng, Thủ trưởng cơ quan ngang Bộ chưa phù hợp với quy định của Luật này thì phải điều chỉnh</w:t>
      </w:r>
      <w:r w:rsidRPr="005C5A10">
        <w:rPr>
          <w:rFonts w:ascii="Times New Roman" w:eastAsia="Times New Roman" w:hAnsi="Times New Roman" w:cs="Times New Roman"/>
          <w:noProof/>
          <w:sz w:val="28"/>
          <w:szCs w:val="28"/>
          <w:lang w:val="en-US"/>
        </w:rPr>
        <w:t xml:space="preserve"> thống nhất với quy định của Luật này trong thời hạn 02 năm kể từ ngày Luật này có hiệu lực thi hành”.</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1.2. Cơ sở thực tiễn</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Luật Hộ tịch số 60/2014/QH13 - đạo luật đầu tiên của Nhà nước ta điều chỉnh vấn đề đăng ký và quản lý hộ tịch - được Quốc hội khóa X</w:t>
      </w:r>
      <w:r w:rsidRPr="005C5A10">
        <w:rPr>
          <w:rFonts w:ascii="Times New Roman" w:eastAsia="Times New Roman" w:hAnsi="Times New Roman" w:cs="Times New Roman"/>
          <w:noProof/>
          <w:sz w:val="28"/>
          <w:szCs w:val="28"/>
          <w:lang w:val="en-US"/>
        </w:rPr>
        <w:t>III thông qua tại kỳ họp thứ 8 ngày 20/11/2014, có hiệu lực thi hành từ ngày 01/01/2016. Sau gần 10 năm triển khai thực hiện Luật Hộ tịch, công tác đăng ký, quản lý hộ tịch có những bước chuyển biến tích cực, ngày càng nền nếp, hiệu quả; hệ thống các quy p</w:t>
      </w:r>
      <w:r w:rsidRPr="005C5A10">
        <w:rPr>
          <w:rFonts w:ascii="Times New Roman" w:eastAsia="Times New Roman" w:hAnsi="Times New Roman" w:cs="Times New Roman"/>
          <w:noProof/>
          <w:sz w:val="28"/>
          <w:szCs w:val="28"/>
          <w:lang w:val="en-US"/>
        </w:rPr>
        <w:t xml:space="preserve">hạm pháp luật về hộ tịch tiếp tục được hoàn thiện; năng lực của đội ngũ công chức làm công tác hộ tịch được nâng cao, hệ thống cơ quan đăng ký, quản lý hộ tịch tiếp tục được củng cố và phát triển; quản lý nhà nước về hộ tịch có nhiều đổi mới, đi vào chiều </w:t>
      </w:r>
      <w:r w:rsidRPr="005C5A10">
        <w:rPr>
          <w:rFonts w:ascii="Times New Roman" w:eastAsia="Times New Roman" w:hAnsi="Times New Roman" w:cs="Times New Roman"/>
          <w:noProof/>
          <w:sz w:val="28"/>
          <w:szCs w:val="28"/>
          <w:lang w:val="en-US"/>
        </w:rPr>
        <w:t xml:space="preserve">sâu và toàn diện hơn. Về cơ bản, công tác đăng ký, quản lý hộ tịch thời gian qua đã phục vụ đắc lực cho hoạt động quản lý nhà nước về dân cư, góp phần quan trọng bảo đảm quyền con người và thúc đẩy phát triển kinh tế - xã hội của đất nước.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Tuy nhiên, trướ</w:t>
      </w:r>
      <w:r w:rsidRPr="005C5A10">
        <w:rPr>
          <w:rFonts w:ascii="Times New Roman" w:eastAsia="Times New Roman" w:hAnsi="Times New Roman" w:cs="Times New Roman"/>
          <w:noProof/>
          <w:sz w:val="28"/>
          <w:szCs w:val="28"/>
          <w:lang w:val="en-US"/>
        </w:rPr>
        <w:t>c yêu cầu ngày càng cao của công cuộc cải cách tư pháp, cải cách hành chính, nhất là việc tổ chức, sắp xếp lại bộ máy theo mô hình chính quyền địa phương hai cấp, đẩy mạnh ứng dụng công nghệ thông tin và chuyển đổi số, thì lĩnh vực đăng ký, quản lý hộ tịch</w:t>
      </w:r>
      <w:r w:rsidRPr="005C5A10">
        <w:rPr>
          <w:rFonts w:ascii="Times New Roman" w:eastAsia="Times New Roman" w:hAnsi="Times New Roman" w:cs="Times New Roman"/>
          <w:noProof/>
          <w:sz w:val="28"/>
          <w:szCs w:val="28"/>
          <w:lang w:val="en-US"/>
        </w:rPr>
        <w:t xml:space="preserve"> đã bộc lộ không ít những tồn tại, hạn chế: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Thứ nhất, một số quy định của Luật hộ tịch (về thẩm quyền đăng ký hộ tịch, trách nhiệm quản lý nhà nước về hộ tịch) không còn phù hợp với yêu cầu tổ chức, sắp xếp bộ máy chính quyền địa phương hiện nay. Kết quả </w:t>
      </w:r>
      <w:r w:rsidRPr="005C5A10">
        <w:rPr>
          <w:rFonts w:ascii="Times New Roman" w:eastAsia="Times New Roman" w:hAnsi="Times New Roman" w:cs="Times New Roman"/>
          <w:noProof/>
          <w:sz w:val="28"/>
          <w:szCs w:val="28"/>
          <w:lang w:val="en-US"/>
        </w:rPr>
        <w:t>rà soát Luật hộ tịch cho thấy, có 26/77 điều của Luật liên quan đến thẩm quyền đăng ký hộ tịch, trách nhiệm quản lý nhà nước trong lĩnh vực hộ tịch của Ủy ban nhân dân (UBND) cấp huyện cần phải sửa đổi để bảo đảm phù hợp với việc sắp xếp, tổ chức bộ máy, đ</w:t>
      </w:r>
      <w:r w:rsidRPr="005C5A10">
        <w:rPr>
          <w:rFonts w:ascii="Times New Roman" w:eastAsia="Times New Roman" w:hAnsi="Times New Roman" w:cs="Times New Roman"/>
          <w:noProof/>
          <w:sz w:val="28"/>
          <w:szCs w:val="28"/>
          <w:lang w:val="en-US"/>
        </w:rPr>
        <w:t>ẩy mạnh phân cấp phân quyền, chuyển giao nhiệm vụ của UBND cấp huyện cho UBND cấp xã.</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Thứ hai, kết quả tổng kết triển khai thi hành Luật Hộ tịch, tổng kết Chương trình hành động quốc gia của Việt Nam về đăng ký và thống kê hộ tịch giai đoạn 2017 – 2024 the</w:t>
      </w:r>
      <w:r w:rsidRPr="005C5A10">
        <w:rPr>
          <w:rFonts w:ascii="Times New Roman" w:eastAsia="Times New Roman" w:hAnsi="Times New Roman" w:cs="Times New Roman"/>
          <w:noProof/>
          <w:sz w:val="28"/>
          <w:szCs w:val="28"/>
          <w:lang w:val="en-US"/>
        </w:rPr>
        <w:t>o Quyết định số 101/2015/QĐ-TTg của Thủ tướng Chính phủ  và tổng hợp kết quả công tác thanh tra, kiểm tra tình hình đăng ký, quản lý hộ tịch tại các địa phương cho thấy, nhiều quy định của Luật Hộ tịch không còn phù hợp cần được sửa đổi, bổ sung kịp thời n</w:t>
      </w:r>
      <w:r w:rsidRPr="005C5A10">
        <w:rPr>
          <w:rFonts w:ascii="Times New Roman" w:eastAsia="Times New Roman" w:hAnsi="Times New Roman" w:cs="Times New Roman"/>
          <w:noProof/>
          <w:sz w:val="28"/>
          <w:szCs w:val="28"/>
          <w:lang w:val="en-US"/>
        </w:rPr>
        <w:t>hằm bảo đảm hiệu quả của công tác đăng ký, quản lý hộ tịch cũng như bảo đảm lợi ích của người dân. Trong đó, đặc biệt là các vấn đề sau:</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Luật Hộ tịch có nhiều quy định cụ thể, chi tiết nhưng lại thiếu tính dự báo, dự liệu và chưa có quy định “dự phòng” m</w:t>
      </w:r>
      <w:r w:rsidRPr="005C5A10">
        <w:rPr>
          <w:rFonts w:ascii="Times New Roman" w:eastAsia="Times New Roman" w:hAnsi="Times New Roman" w:cs="Times New Roman"/>
          <w:noProof/>
          <w:sz w:val="28"/>
          <w:szCs w:val="28"/>
          <w:lang w:val="en-US"/>
        </w:rPr>
        <w:t xml:space="preserve">ang tính linh hoạt để điều chỉnh đối với các trường hợp phát sinh trên thực tế, cũng như chưa có quy định trao quyền chủ động cho người làm công tác hộ tịch để xử lý các vấn đề phát sinh “vì lợi ích của người dân”, nên dẫn đến việc giải quyết yêu cầu đăng </w:t>
      </w:r>
      <w:r w:rsidRPr="005C5A10">
        <w:rPr>
          <w:rFonts w:ascii="Times New Roman" w:eastAsia="Times New Roman" w:hAnsi="Times New Roman" w:cs="Times New Roman"/>
          <w:noProof/>
          <w:sz w:val="28"/>
          <w:szCs w:val="28"/>
          <w:lang w:val="en-US"/>
        </w:rPr>
        <w:t>ký hộ tịch của người dân ở một số địa phương còn máy móc, thụ động, cơ quan đăng ký hộ tịch lúng túng không biết cách xử lý vướng mắc;</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Một số quy định cản trở việc thực hiện đăng ký hộ tịch trực tuyến (toàn trình) và chuyển đổi số. Hầu hết các thủ tục đăng</w:t>
      </w:r>
      <w:r w:rsidRPr="005C5A10">
        <w:rPr>
          <w:rFonts w:ascii="Times New Roman" w:eastAsia="Times New Roman" w:hAnsi="Times New Roman" w:cs="Times New Roman"/>
          <w:noProof/>
          <w:sz w:val="28"/>
          <w:szCs w:val="28"/>
          <w:lang w:val="en-US"/>
        </w:rPr>
        <w:t xml:space="preserve"> ký hộ tịch theo quy định của Luật hiện nay đều được thực hiện tại UBND có thẩm quyền theo nơi cư trú của người dân (như thường trú – tạm trú – nơi sinh sống thực tế). Đồng thời khi thực hiện đăng ký hộ tịch thì người đi đăng ký hộ tịch phải có mặt để ký v</w:t>
      </w:r>
      <w:r w:rsidRPr="005C5A10">
        <w:rPr>
          <w:rFonts w:ascii="Times New Roman" w:eastAsia="Times New Roman" w:hAnsi="Times New Roman" w:cs="Times New Roman"/>
          <w:noProof/>
          <w:sz w:val="28"/>
          <w:szCs w:val="28"/>
          <w:lang w:val="en-US"/>
        </w:rPr>
        <w:t xml:space="preserve">ào sổ, nhận kết quả trực tiếp tại cơ quan đăng ký hộ tịch. Tất cả các sự kiện hộ tịch sau khi được đăng ký, người dân đều nhận được bản giấy giấy tờ hộ tịch (như Giấy khai sinh, Giấy khai tử, Giấy chứng nhận kết hôn v.v…). Đặc biệt, theo yêu cầu của Luật, </w:t>
      </w:r>
      <w:r w:rsidRPr="005C5A10">
        <w:rPr>
          <w:rFonts w:ascii="Times New Roman" w:eastAsia="Times New Roman" w:hAnsi="Times New Roman" w:cs="Times New Roman"/>
          <w:noProof/>
          <w:sz w:val="28"/>
          <w:szCs w:val="28"/>
          <w:lang w:val="en-US"/>
        </w:rPr>
        <w:t xml:space="preserve">công chức tư pháp – hộ tịch vừa phải thực hiện ghi vào Sổ hộ tịch (sổ giấy) vừa phải nhập dữ liệu vào Cơ sở dữ liệu hộ tịch điện tử (CSDLHTĐT).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Với các quy định như vậy của Luật Hộ tịch thì chưa thể triển khai đăng ký hộ tịch trực tuyến toàn trình. Điều n</w:t>
      </w:r>
      <w:r w:rsidRPr="005C5A10">
        <w:rPr>
          <w:rFonts w:ascii="Times New Roman" w:eastAsia="Times New Roman" w:hAnsi="Times New Roman" w:cs="Times New Roman"/>
          <w:noProof/>
          <w:sz w:val="28"/>
          <w:szCs w:val="28"/>
          <w:lang w:val="en-US"/>
        </w:rPr>
        <w:t>ày vừa không phù hợp với yêu cầu đẩy mạnh ứng dụng công nghệ thông tin, tăng cường chuyển đổi số theo Nghị quyết số 175/NQ-CP ngày 30/10/2023 của Chính phủ, vừa cản trở quá trình hội nhập quốc tế trong lĩnh vực này và ảnh hưởng đến việc bảo đảm quyền và lợ</w:t>
      </w:r>
      <w:r w:rsidRPr="005C5A10">
        <w:rPr>
          <w:rFonts w:ascii="Times New Roman" w:eastAsia="Times New Roman" w:hAnsi="Times New Roman" w:cs="Times New Roman"/>
          <w:noProof/>
          <w:sz w:val="28"/>
          <w:szCs w:val="28"/>
          <w:lang w:val="en-US"/>
        </w:rPr>
        <w:t>i ích của người dân.</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Thứ ba, chưa có sự đồng bộ giữa các quy định của Luật Hộ tịch với các quy định pháp luật liên quan. Kể từ khi Luật Hộ tịch được ban hành đến nay, Quốc hội đã ban hành một số Luật, Nghị quyết  trong đó có những quy định tác động đến công tác đăng ký, quản l</w:t>
      </w:r>
      <w:r w:rsidRPr="005C5A10">
        <w:rPr>
          <w:rFonts w:ascii="Times New Roman" w:eastAsia="Times New Roman" w:hAnsi="Times New Roman" w:cs="Times New Roman"/>
          <w:noProof/>
          <w:sz w:val="28"/>
          <w:szCs w:val="28"/>
          <w:lang w:val="en-US"/>
        </w:rPr>
        <w:t xml:space="preserve">ý hộ tịch và dẫn đến thiếu thống nhất, khiến cho cơ quan đăng ký hộ tịch khó áp dụng hoặc áp dụng không thống nhất khi giải quyết yêu cầu đăng ký hộ tịch.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Thứ tư, Luật Hộ tịch chưa có quy định đủ mạnh về cơ chế liên thông, phối hợp, gắn kết trách nhiệm và</w:t>
      </w:r>
      <w:r w:rsidRPr="005C5A10">
        <w:rPr>
          <w:rFonts w:ascii="Times New Roman" w:eastAsia="Times New Roman" w:hAnsi="Times New Roman" w:cs="Times New Roman"/>
          <w:noProof/>
          <w:sz w:val="28"/>
          <w:szCs w:val="28"/>
          <w:lang w:val="en-US"/>
        </w:rPr>
        <w:t xml:space="preserve"> chia sẻ thông tin, dữ liệu giữa các ngành có liên quan trong công tác đăng ký, quản lý và thống kê hộ tịch. Nên dẫn đến hiệu quả của công tác phối hợp trong lĩnh vực này chưa cao.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Từ những tồn tại, hạn chế cơ bản như nêu trên, trước yêu cầu của Đảng và N</w:t>
      </w:r>
      <w:r w:rsidRPr="005C5A10">
        <w:rPr>
          <w:rFonts w:ascii="Times New Roman" w:eastAsia="Times New Roman" w:hAnsi="Times New Roman" w:cs="Times New Roman"/>
          <w:noProof/>
          <w:sz w:val="28"/>
          <w:szCs w:val="28"/>
          <w:lang w:val="en-US"/>
        </w:rPr>
        <w:t xml:space="preserve">hà nước trong việc đẩy mạnh phân cấp, phân quyền, tinh gọn tổ chức bộ máy của hệ thống chính trị, đổi mới tư duy công tác xây dựng pháp luật, thực hiện chuyển đổi số đáp ứng yêu cầu cải cách TTHC, thì việc xác định những chính sách mới, tiến bộ trong lĩnh </w:t>
      </w:r>
      <w:r w:rsidRPr="005C5A10">
        <w:rPr>
          <w:rFonts w:ascii="Times New Roman" w:eastAsia="Times New Roman" w:hAnsi="Times New Roman" w:cs="Times New Roman"/>
          <w:noProof/>
          <w:sz w:val="28"/>
          <w:szCs w:val="28"/>
          <w:lang w:val="en-US"/>
        </w:rPr>
        <w:t>vực hộ tịch nhằm tạo hành lang pháp lý rõ ràng, khắc phục những tồn tại, hạn chế và khơi thông các điểm nghẽn là vô cùng cần thiết. Qua đó góp phần tích cực bảo đảm các quyền con người, quyền công dân và nâng cao hiệu quả quản lý nhà nước trong lĩnh vực nà</w:t>
      </w:r>
      <w:r w:rsidRPr="005C5A10">
        <w:rPr>
          <w:rFonts w:ascii="Times New Roman" w:eastAsia="Times New Roman" w:hAnsi="Times New Roman" w:cs="Times New Roman"/>
          <w:noProof/>
          <w:sz w:val="28"/>
          <w:szCs w:val="28"/>
          <w:lang w:val="en-US"/>
        </w:rPr>
        <w:t>y.</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2. Mục đích, yêu cầu đánh giá</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2.1. Mục đích</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Bảo đảm quy định tại Dự thảo Luật Hộ tịch (sửa đổi) phù hợp chủ trương, đường lối của Đảng, mục tiêu, định hướng về đẩy mạnh phân cấp, phân quyền, tinh gọn tổ chức bộ máy của hệ thống chính trị; chuyển đổi s</w:t>
      </w:r>
      <w:r w:rsidRPr="005C5A10">
        <w:rPr>
          <w:rFonts w:ascii="Times New Roman" w:eastAsia="Times New Roman" w:hAnsi="Times New Roman" w:cs="Times New Roman"/>
          <w:noProof/>
          <w:sz w:val="28"/>
          <w:szCs w:val="28"/>
          <w:lang w:val="en-US"/>
        </w:rPr>
        <w:t>ố, cải cách tư pháp, cải cách TTHC hiện nay.</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Bảo đảm các quy định tại Dự thảo Luật Hộ tịch (sửa đổi) có tính thống nhất, đồng bộ của hệ thống pháp luật, phù hợp các quy định của Hiến pháp.</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2.2. Yêu cầu đánh giá</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Bám sát các tiêu chí đánh giá theo quy đị</w:t>
      </w:r>
      <w:r w:rsidRPr="005C5A10">
        <w:rPr>
          <w:rFonts w:ascii="Times New Roman" w:eastAsia="Times New Roman" w:hAnsi="Times New Roman" w:cs="Times New Roman"/>
          <w:noProof/>
          <w:sz w:val="28"/>
          <w:szCs w:val="28"/>
          <w:lang w:val="en-US"/>
        </w:rPr>
        <w:t>nh của Luật Ban hành văn bản quy phạm pháp luật và các văn bản hướng dẫn chi tiết thi hành; đánh giá được sự cần thiết, tính hợp pháp, hợp lý, sự khả thi trong các quy định tại Dự thảo Luật Hộ tịch (sửa đổi).</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 Thuyết minh rõ được tính đơn giản và ưu điểm </w:t>
      </w:r>
      <w:r w:rsidRPr="005C5A10">
        <w:rPr>
          <w:rFonts w:ascii="Times New Roman" w:eastAsia="Times New Roman" w:hAnsi="Times New Roman" w:cs="Times New Roman"/>
          <w:noProof/>
          <w:sz w:val="28"/>
          <w:szCs w:val="28"/>
          <w:lang w:val="en-US"/>
        </w:rPr>
        <w:t xml:space="preserve">của thủ tục hành chính được quy định sửa đổi, bổ sung hoặc được phân quyền, phân cấp và lợi ích về chi phí khi thực hiện.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II. KẾT QUẢ ĐÁNH GIÁ</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1. Đánh giá thủ tục hành chính</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Về cơ bản, Dự thảo Luật Hộ tịch (sửa đổi) đã có bước tiến lớn trong việc đơn giản hóa TTHC, đảm bảo tính tinh gọn, dễ thực hiện và phù hợp với thực tiễn cải cách tư pháp hiện nay, tập trung vào các nội dung chính như sau:</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 xml:space="preserve">1.1. Đơn giản hóa về số lượng thủ </w:t>
      </w:r>
      <w:r w:rsidRPr="005C5A10">
        <w:rPr>
          <w:rFonts w:ascii="Times New Roman" w:eastAsia="Times New Roman" w:hAnsi="Times New Roman" w:cs="Times New Roman"/>
          <w:b/>
          <w:bCs/>
          <w:noProof/>
          <w:sz w:val="28"/>
          <w:szCs w:val="28"/>
          <w:lang w:val="en-US"/>
        </w:rPr>
        <w:t>tục hành chính</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Dự thảo Luật Hộ tịch (sửa đổi) quy định 07 TTHC cơ bản, bao gồm: 1 - Thủ tục đăng ký khai sinh; 2 - Thủ tục đăng ký kết hôn; 3 - Thủ tục đăng ký giám hộ; 4 - Thủ tục đăng ký nhận cha, mẹ, con; 5 - Thủ tục đăng ký thay đổi hộ tịch; 6 - Thủ tụ</w:t>
      </w:r>
      <w:r w:rsidRPr="005C5A10">
        <w:rPr>
          <w:rFonts w:ascii="Times New Roman" w:eastAsia="Times New Roman" w:hAnsi="Times New Roman" w:cs="Times New Roman"/>
          <w:noProof/>
          <w:sz w:val="28"/>
          <w:szCs w:val="28"/>
          <w:lang w:val="en-US"/>
        </w:rPr>
        <w:t xml:space="preserve">c ghi vào Sổ hộ tịch việc hộ tịch của công dân Việt Nam đã được giải quyết ở cơ quan có thẩm quyền ở nước ngoài; 7 - Thủ tục đăng ký khai tử.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Hiện nay, rà soát trên cơ sở quy định của Luật Hộ tịch năm 2014 và các văn bản quy định chi tiết thi hành, lĩnh v</w:t>
      </w:r>
      <w:r w:rsidRPr="005C5A10">
        <w:rPr>
          <w:rFonts w:ascii="Times New Roman" w:eastAsia="Times New Roman" w:hAnsi="Times New Roman" w:cs="Times New Roman"/>
          <w:noProof/>
          <w:sz w:val="28"/>
          <w:szCs w:val="28"/>
          <w:lang w:val="en-US"/>
        </w:rPr>
        <w:t xml:space="preserve">ực hộ tịch có tổng số 39 TTHC. Như vậy, về số lượng đã cho thấy việc đơn giản hóa đáng kể, xác định theo 02 nội dung sau: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Thứ nhất, mở rộng phạm vi, đối tượng của TTHC, đồng thời cắt giảm các TTHC có tính chất tương tự (ví dụ, mở rộng phạm vi đối tượng củ</w:t>
      </w:r>
      <w:r w:rsidRPr="005C5A10">
        <w:rPr>
          <w:rFonts w:ascii="Times New Roman" w:eastAsia="Times New Roman" w:hAnsi="Times New Roman" w:cs="Times New Roman"/>
          <w:noProof/>
          <w:sz w:val="28"/>
          <w:szCs w:val="28"/>
          <w:lang w:val="en-US"/>
        </w:rPr>
        <w:t xml:space="preserve">a thủ tục đăng ký khai sinh, đồng thời cắt giảm các thủ tục đăng ký lại khai sinh, đăng ký khai sinh kết hợp đăng ký nhận cha, mẹ, con; đăng ký khai sinh cho người có hồ sơ, giấy tờ cá nhân…).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Thứ hai, nhóm chung TTHC đăng ký có yếu tố nước ngoài tại UBND</w:t>
      </w:r>
      <w:r w:rsidRPr="005C5A10">
        <w:rPr>
          <w:rFonts w:ascii="Times New Roman" w:eastAsia="Times New Roman" w:hAnsi="Times New Roman" w:cs="Times New Roman"/>
          <w:noProof/>
          <w:sz w:val="28"/>
          <w:szCs w:val="28"/>
          <w:lang w:val="en-US"/>
        </w:rPr>
        <w:t xml:space="preserve"> cấp huyện (trước đây) vào TTHC đăng ký ở UBND cấp xã tương ứng (Ví dụ: TTHC đăng ký khai sinh có yếu tố nước ngoài ở cấp huyện trước đây được nhóm chung với thủ tục đăng ký khai sinh ở cấp xã). Chi tiết như sau:</w:t>
      </w:r>
    </w:p>
    <w:tbl>
      <w:tblPr>
        <w:tblStyle w:val="a0"/>
        <w:tblW w:w="946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17"/>
        <w:gridCol w:w="3544"/>
        <w:gridCol w:w="3402"/>
        <w:gridCol w:w="1701"/>
      </w:tblGrid>
      <w:tr w:rsidR="00296487" w:rsidRPr="005C5A10">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STT</w:t>
            </w:r>
          </w:p>
        </w:tc>
        <w:tc>
          <w:tcPr>
            <w:tcW w:w="3544"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TTHC trước đây</w:t>
            </w:r>
          </w:p>
        </w:tc>
        <w:tc>
          <w:tcPr>
            <w:tcW w:w="3402"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TTHC tại Dự thảo</w:t>
            </w:r>
          </w:p>
        </w:tc>
        <w:tc>
          <w:tcPr>
            <w:tcW w:w="1701" w:type="dxa"/>
          </w:tcPr>
          <w:p w:rsidR="00296487" w:rsidRPr="005C5A10" w:rsidRDefault="00A31090" w:rsidP="0063540F">
            <w:pPr>
              <w:spacing w:after="0" w:line="240" w:lineRule="auto"/>
              <w:jc w:val="center"/>
              <w:rPr>
                <w:rFonts w:ascii="Times New Roman" w:eastAsia="Times New Roman" w:hAnsi="Times New Roman" w:cs="Times New Roman"/>
                <w:b/>
                <w:bCs/>
                <w:noProof/>
                <w:sz w:val="28"/>
                <w:szCs w:val="28"/>
                <w:lang w:val="en-US"/>
              </w:rPr>
            </w:pPr>
            <w:r w:rsidRPr="005C5A10">
              <w:rPr>
                <w:rFonts w:ascii="Times New Roman" w:eastAsia="Times New Roman" w:hAnsi="Times New Roman" w:cs="Times New Roman"/>
                <w:b/>
                <w:bCs/>
                <w:noProof/>
                <w:sz w:val="28"/>
                <w:szCs w:val="28"/>
                <w:lang w:val="en-US"/>
              </w:rPr>
              <w:t>Nội dun</w:t>
            </w:r>
            <w:r w:rsidRPr="005C5A10">
              <w:rPr>
                <w:rFonts w:ascii="Times New Roman" w:eastAsia="Times New Roman" w:hAnsi="Times New Roman" w:cs="Times New Roman"/>
                <w:b/>
                <w:bCs/>
                <w:noProof/>
                <w:sz w:val="28"/>
                <w:szCs w:val="28"/>
                <w:lang w:val="en-US"/>
              </w:rPr>
              <w:t>g đơn giản hóa</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1</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khai sinh</w:t>
            </w:r>
          </w:p>
        </w:tc>
        <w:tc>
          <w:tcPr>
            <w:tcW w:w="3402" w:type="dxa"/>
            <w:vMerge w:val="restart"/>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khai sinh</w:t>
            </w: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Sửa đổi, bổ sung</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2</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khai sinh có yếu tố nước ngoài</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3</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lại khai sinh</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4</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lại khai sinh có yếu tố nước ngoài</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5</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khai sinh kết hợp đăng ký nhận cha, mẹ, con</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6</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khai sinh kết hợp đăng ký nhận cha, mẹ, con có yếu tố nước ngoài</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7</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bookmarkStart w:id="1" w:name="bookmark=id.vbykp05sca15" w:colFirst="0" w:colLast="0"/>
            <w:bookmarkEnd w:id="1"/>
            <w:r w:rsidRPr="005C5A10">
              <w:rPr>
                <w:rFonts w:ascii="Times New Roman" w:eastAsia="Times New Roman" w:hAnsi="Times New Roman" w:cs="Times New Roman"/>
                <w:noProof/>
                <w:sz w:val="28"/>
                <w:szCs w:val="28"/>
                <w:lang w:val="en-US"/>
              </w:rPr>
              <w:t xml:space="preserve">Thủ tục đăng ký khai sinh cho người đã có hồ sơ, giấy tờ cá nhân </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8</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color w:val="000000"/>
                <w:sz w:val="28"/>
                <w:szCs w:val="28"/>
                <w:highlight w:val="white"/>
                <w:lang w:val="en-US"/>
              </w:rPr>
              <w:t>Thủ tục đăng ký khai sinh có yếu tố nước ngoài cho người đã có hồ sơ, giấy tờ cá nhân</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9</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color w:val="000000"/>
                <w:sz w:val="28"/>
                <w:szCs w:val="28"/>
                <w:highlight w:val="white"/>
                <w:lang w:val="en-US"/>
              </w:rPr>
            </w:pPr>
            <w:r w:rsidRPr="005C5A10">
              <w:rPr>
                <w:rFonts w:ascii="Times New Roman" w:eastAsia="Times New Roman" w:hAnsi="Times New Roman" w:cs="Times New Roman"/>
                <w:noProof/>
                <w:color w:val="000000"/>
                <w:sz w:val="28"/>
                <w:szCs w:val="28"/>
                <w:highlight w:val="white"/>
                <w:lang w:val="en-US"/>
              </w:rPr>
              <w:t xml:space="preserve">Thủ tục đăng ký khai sinh lưu động </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color w:val="000000"/>
                <w:sz w:val="28"/>
                <w:szCs w:val="28"/>
                <w:highlight w:val="white"/>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Giao Bộ trưởng Bộ Tư pháp quy định điều kiện, trình tự đăng ký</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10</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color w:val="000000"/>
                <w:sz w:val="28"/>
                <w:szCs w:val="28"/>
                <w:highlight w:val="white"/>
                <w:lang w:val="en-US"/>
              </w:rPr>
            </w:pPr>
            <w:r w:rsidRPr="005C5A10">
              <w:rPr>
                <w:rFonts w:ascii="Times New Roman" w:eastAsia="Times New Roman" w:hAnsi="Times New Roman" w:cs="Times New Roman"/>
                <w:noProof/>
                <w:color w:val="000000"/>
                <w:sz w:val="28"/>
                <w:szCs w:val="28"/>
                <w:highlight w:val="white"/>
                <w:lang w:val="en-US"/>
              </w:rPr>
              <w:t>Thục đăng ký khai sinh có yếu tố nước ngoài tại khu vực biên giới</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color w:val="000000"/>
                <w:sz w:val="28"/>
                <w:szCs w:val="28"/>
                <w:highlight w:val="white"/>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11</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Thủ tục đăng ký kết hôn ở cấp xã </w:t>
            </w:r>
          </w:p>
        </w:tc>
        <w:tc>
          <w:tcPr>
            <w:tcW w:w="3402" w:type="dxa"/>
            <w:vMerge w:val="restart"/>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kết hôn</w:t>
            </w: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Sửa đổi, bổ sung</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12</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Thủ tục đăng ký </w:t>
            </w:r>
            <w:r w:rsidRPr="005C5A10">
              <w:rPr>
                <w:rFonts w:ascii="Times New Roman" w:eastAsia="Times New Roman" w:hAnsi="Times New Roman" w:cs="Times New Roman"/>
                <w:noProof/>
                <w:sz w:val="28"/>
                <w:szCs w:val="28"/>
                <w:lang w:val="en-US"/>
              </w:rPr>
              <w:t>kết hôn</w:t>
            </w:r>
            <w:r w:rsidRPr="005C5A10">
              <w:rPr>
                <w:rFonts w:ascii="Times New Roman" w:eastAsia="Times New Roman" w:hAnsi="Times New Roman" w:cs="Times New Roman"/>
                <w:noProof/>
                <w:sz w:val="28"/>
                <w:szCs w:val="28"/>
                <w:lang w:val="en-US"/>
              </w:rPr>
              <w:t xml:space="preserve"> có yếu tố nước ngoài ở cấp huyện </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13</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lại kết hôn</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14</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Thủ tục đăng ký lại kết hôn có yếu tố nước ngoài </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15</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Thủ tục đăng ký kết hôn lưu động </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Giao Bộ trưởng Bộ Tư pháp quy định điều kiện, trình tự đăng ký</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16</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kết hôn có yếu tố nước ngoài tại khu vực biên giới</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17</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Thủ tục đăng ký giám hộ </w:t>
            </w:r>
          </w:p>
        </w:tc>
        <w:tc>
          <w:tcPr>
            <w:tcW w:w="3402" w:type="dxa"/>
            <w:vMerge w:val="restart"/>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giám hộ</w:t>
            </w: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Sửa đổi, bổ sung</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18</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Thủ tục đăng ký giám hộ có yếu tố nước ngoài </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19</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Thủ tục đăng ký chấm dứt giám hộ </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20</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chấm dứt giám hộ có yếu tố nước ngoài</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21</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Thủ tục đăng ký giám sát việc giám hộ </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22</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chấm dứt giám sát việc giám hộ</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23</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nhận cha, mẹ, con</w:t>
            </w:r>
          </w:p>
        </w:tc>
        <w:tc>
          <w:tcPr>
            <w:tcW w:w="3402" w:type="dxa"/>
            <w:vMerge w:val="restart"/>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nhận cha, mẹ, con</w:t>
            </w: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Sửa đổi, bổ sung</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24</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Thủ tục đăng ký nhận cha, mẹ, con có yếu tố nước ngoài </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25</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nhận cha, mẹ, con có yếu tố nước ngoài tại khu vực biên giới</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26</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thay đổi, cải chính, bổ sung thông tin hộ tịch, xác định lại dân tộc</w:t>
            </w:r>
          </w:p>
        </w:tc>
        <w:tc>
          <w:tcPr>
            <w:tcW w:w="3402" w:type="dxa"/>
            <w:vMerge w:val="restart"/>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thay đổi hộ tịch</w:t>
            </w: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Sửa đổi, bổ sung</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27</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thay đổi, cải chính, bổ sung thông tin hộ tịch, xác định lại dân tộc có yếu tố nước ngoài</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28</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Thủ tục ghi vào Sổ hộ tịch việc kết hôn của công dân Việt Nam đã được giải quyết tại cơ quan có thẩm quyền của nước ngoài </w:t>
            </w:r>
          </w:p>
        </w:tc>
        <w:tc>
          <w:tcPr>
            <w:tcW w:w="3402" w:type="dxa"/>
            <w:vMerge w:val="restart"/>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ghi vào Sổ hộ tịch việc hộ tịch của công dân Việt Nam đã được giải quyết tại cơ quan có thẩm quyền của nước ngoài</w:t>
            </w: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Sửa đổi, bổ sung</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29</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Thủ tục ghi vào Sổ hộ tịch việc ly hôn, hủy việc kết hôn của công dân Việt Nam đã được giải quyết tại cơ quan có </w:t>
            </w:r>
            <w:r w:rsidRPr="005C5A10">
              <w:rPr>
                <w:rFonts w:ascii="Times New Roman" w:eastAsia="Times New Roman" w:hAnsi="Times New Roman" w:cs="Times New Roman"/>
                <w:noProof/>
                <w:sz w:val="28"/>
                <w:szCs w:val="28"/>
                <w:lang w:val="en-US"/>
              </w:rPr>
              <w:t xml:space="preserve">thẩm quyền của nước ngoài </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30</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Thủ tục ghi vào Sổ hộ tịch việc hộ tịch khác của công dân Việt Nam đã được giải quyết tại cơ quan có thẩm quyền của nước ngoài (khai sinh; giám hộ; nhận cha, mẹ, con; xác định cha, mẹ, con; nuôi con nuôi; khai tử; thay đổi hộ tịch) </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31</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w:t>
            </w:r>
            <w:r w:rsidRPr="005C5A10">
              <w:rPr>
                <w:rFonts w:ascii="Times New Roman" w:eastAsia="Times New Roman" w:hAnsi="Times New Roman" w:cs="Times New Roman"/>
                <w:noProof/>
                <w:sz w:val="28"/>
                <w:szCs w:val="28"/>
                <w:lang w:val="en-US"/>
              </w:rPr>
              <w:t xml:space="preserve">g ký khai tử </w:t>
            </w:r>
          </w:p>
        </w:tc>
        <w:tc>
          <w:tcPr>
            <w:tcW w:w="3402" w:type="dxa"/>
            <w:vMerge w:val="restart"/>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khai tử</w:t>
            </w: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Sửa đổi, bổ sung</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32</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Thủ tục đăng ký khai tử có yếu tố nước ngoài  </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33</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lại khai tử</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34</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lại khai tử có yếu tố nước ngoài</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35</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khai tử lưu động</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Giao Bộ trưởng Bộ Tư pháp quy định điều kiện, trình tự đăng ký</w:t>
            </w:r>
          </w:p>
        </w:tc>
      </w:tr>
      <w:tr w:rsidR="00296487" w:rsidRPr="005C5A10">
        <w:trPr>
          <w:cantSplit/>
        </w:trPr>
        <w:tc>
          <w:tcPr>
            <w:tcW w:w="817" w:type="dxa"/>
          </w:tcPr>
          <w:p w:rsidR="00296487" w:rsidRPr="005C5A10" w:rsidRDefault="00A3109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36</w:t>
            </w:r>
          </w:p>
        </w:tc>
        <w:tc>
          <w:tcPr>
            <w:tcW w:w="3544"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đăng ký khai tử có yếu tố nước ngoài tại khu vực biên giới</w:t>
            </w:r>
          </w:p>
        </w:tc>
        <w:tc>
          <w:tcPr>
            <w:tcW w:w="3402" w:type="dxa"/>
            <w:vMerge/>
          </w:tcPr>
          <w:p w:rsidR="00296487" w:rsidRPr="005C5A10" w:rsidRDefault="00296487" w:rsidP="0063540F">
            <w:pPr>
              <w:widowControl w:val="0"/>
              <w:pBdr>
                <w:top w:val="nil"/>
                <w:left w:val="nil"/>
                <w:bottom w:val="nil"/>
                <w:right w:val="nil"/>
                <w:between w:val="nil"/>
              </w:pBdr>
              <w:spacing w:after="0" w:line="240" w:lineRule="auto"/>
              <w:rPr>
                <w:rFonts w:ascii="Times New Roman" w:eastAsia="Times New Roman" w:hAnsi="Times New Roman" w:cs="Times New Roman"/>
                <w:noProof/>
                <w:sz w:val="28"/>
                <w:szCs w:val="28"/>
                <w:lang w:val="en-US"/>
              </w:rPr>
            </w:pPr>
          </w:p>
        </w:tc>
        <w:tc>
          <w:tcPr>
            <w:tcW w:w="1701" w:type="dxa"/>
          </w:tcPr>
          <w:p w:rsidR="00296487" w:rsidRPr="005C5A10" w:rsidRDefault="00A3109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Bãi bỏ</w:t>
            </w:r>
          </w:p>
        </w:tc>
      </w:tr>
      <w:tr w:rsidR="005C5A10" w:rsidRPr="005C5A10">
        <w:tc>
          <w:tcPr>
            <w:tcW w:w="817" w:type="dxa"/>
          </w:tcPr>
          <w:p w:rsidR="005C5A10" w:rsidRPr="005C5A10" w:rsidRDefault="005C5A1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37</w:t>
            </w:r>
          </w:p>
        </w:tc>
        <w:tc>
          <w:tcPr>
            <w:tcW w:w="3544" w:type="dxa"/>
          </w:tcPr>
          <w:p w:rsidR="005C5A10" w:rsidRPr="005C5A10" w:rsidRDefault="005C5A1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Cấp giấy xác nhận tình trạng hôn nhân</w:t>
            </w:r>
          </w:p>
        </w:tc>
        <w:tc>
          <w:tcPr>
            <w:tcW w:w="3402" w:type="dxa"/>
            <w:vMerge w:val="restart"/>
          </w:tcPr>
          <w:p w:rsidR="005C5A10" w:rsidRPr="005C5A10" w:rsidRDefault="005C5A10" w:rsidP="0063540F">
            <w:pPr>
              <w:spacing w:after="0" w:line="240" w:lineRule="auto"/>
              <w:jc w:val="both"/>
              <w:rPr>
                <w:rFonts w:ascii="Times New Roman" w:eastAsia="Times New Roman" w:hAnsi="Times New Roman" w:cs="Times New Roman"/>
                <w:noProof/>
                <w:sz w:val="28"/>
                <w:szCs w:val="28"/>
                <w:lang w:val="en-US"/>
              </w:rPr>
            </w:pPr>
            <w:r>
              <w:rPr>
                <w:rFonts w:ascii="Times New Roman" w:eastAsia="Times New Roman" w:hAnsi="Times New Roman" w:cs="Times New Roman"/>
                <w:noProof/>
                <w:sz w:val="28"/>
                <w:szCs w:val="28"/>
                <w:lang w:val="en-US"/>
              </w:rPr>
              <w:t xml:space="preserve">Thủ tục </w:t>
            </w:r>
            <w:r w:rsidR="00B632EF" w:rsidRPr="00B632EF">
              <w:rPr>
                <w:rFonts w:ascii="Times New Roman" w:eastAsia="Times New Roman" w:hAnsi="Times New Roman" w:cs="Times New Roman"/>
                <w:noProof/>
                <w:sz w:val="28"/>
                <w:szCs w:val="28"/>
                <w:lang w:val="en-US"/>
              </w:rPr>
              <w:t>cấp bản sao giấy tờ hộ tịch, văn bản xác nhận thông tin hộ tịch</w:t>
            </w:r>
          </w:p>
        </w:tc>
        <w:tc>
          <w:tcPr>
            <w:tcW w:w="1701" w:type="dxa"/>
          </w:tcPr>
          <w:p w:rsidR="005C5A10" w:rsidRPr="005C5A10" w:rsidRDefault="005C5A10" w:rsidP="0063540F">
            <w:pPr>
              <w:spacing w:after="0" w:line="240" w:lineRule="auto"/>
              <w:jc w:val="both"/>
              <w:rPr>
                <w:rFonts w:ascii="Times New Roman" w:eastAsia="Times New Roman" w:hAnsi="Times New Roman" w:cs="Times New Roman"/>
                <w:noProof/>
                <w:sz w:val="28"/>
                <w:szCs w:val="28"/>
                <w:lang w:val="en-US"/>
              </w:rPr>
            </w:pPr>
            <w:r>
              <w:rPr>
                <w:rFonts w:ascii="Times New Roman" w:eastAsia="Times New Roman" w:hAnsi="Times New Roman" w:cs="Times New Roman"/>
                <w:noProof/>
                <w:sz w:val="28"/>
                <w:szCs w:val="28"/>
                <w:lang w:val="en-US"/>
              </w:rPr>
              <w:t>Bãi bỏ</w:t>
            </w:r>
          </w:p>
        </w:tc>
      </w:tr>
      <w:tr w:rsidR="005C5A10" w:rsidRPr="005C5A10">
        <w:tc>
          <w:tcPr>
            <w:tcW w:w="817" w:type="dxa"/>
          </w:tcPr>
          <w:p w:rsidR="005C5A10" w:rsidRPr="005C5A10" w:rsidRDefault="005C5A1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38</w:t>
            </w:r>
          </w:p>
        </w:tc>
        <w:tc>
          <w:tcPr>
            <w:tcW w:w="3544" w:type="dxa"/>
          </w:tcPr>
          <w:p w:rsidR="005C5A10" w:rsidRPr="005C5A10" w:rsidRDefault="005C5A1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Cấp trích lục/bản sao hộ tịch</w:t>
            </w:r>
          </w:p>
        </w:tc>
        <w:tc>
          <w:tcPr>
            <w:tcW w:w="3402" w:type="dxa"/>
            <w:vMerge/>
          </w:tcPr>
          <w:p w:rsidR="005C5A10" w:rsidRPr="005C5A10" w:rsidRDefault="005C5A10" w:rsidP="0063540F">
            <w:pPr>
              <w:spacing w:after="0" w:line="240" w:lineRule="auto"/>
              <w:jc w:val="both"/>
              <w:rPr>
                <w:rFonts w:ascii="Times New Roman" w:eastAsia="Times New Roman" w:hAnsi="Times New Roman" w:cs="Times New Roman"/>
                <w:noProof/>
                <w:sz w:val="28"/>
                <w:szCs w:val="28"/>
                <w:lang w:val="en-US"/>
              </w:rPr>
            </w:pPr>
          </w:p>
        </w:tc>
        <w:tc>
          <w:tcPr>
            <w:tcW w:w="1701" w:type="dxa"/>
          </w:tcPr>
          <w:p w:rsidR="005C5A10" w:rsidRPr="005C5A10" w:rsidRDefault="005C5A10" w:rsidP="0063540F">
            <w:pPr>
              <w:spacing w:after="0" w:line="240" w:lineRule="auto"/>
              <w:jc w:val="both"/>
              <w:rPr>
                <w:rFonts w:ascii="Times New Roman" w:eastAsia="Times New Roman" w:hAnsi="Times New Roman" w:cs="Times New Roman"/>
                <w:noProof/>
                <w:sz w:val="28"/>
                <w:szCs w:val="28"/>
                <w:lang w:val="en-US"/>
              </w:rPr>
            </w:pPr>
            <w:r>
              <w:rPr>
                <w:rFonts w:ascii="Times New Roman" w:eastAsia="Times New Roman" w:hAnsi="Times New Roman" w:cs="Times New Roman"/>
                <w:noProof/>
                <w:sz w:val="28"/>
                <w:szCs w:val="28"/>
                <w:lang w:val="en-US"/>
              </w:rPr>
              <w:t>Bãi bỏ</w:t>
            </w:r>
          </w:p>
        </w:tc>
      </w:tr>
      <w:tr w:rsidR="005C5A10" w:rsidRPr="005C5A10">
        <w:tc>
          <w:tcPr>
            <w:tcW w:w="817" w:type="dxa"/>
          </w:tcPr>
          <w:p w:rsidR="005C5A10" w:rsidRPr="005C5A10" w:rsidRDefault="005C5A10" w:rsidP="0063540F">
            <w:pPr>
              <w:spacing w:after="0" w:line="240" w:lineRule="auto"/>
              <w:jc w:val="center"/>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39</w:t>
            </w:r>
          </w:p>
        </w:tc>
        <w:tc>
          <w:tcPr>
            <w:tcW w:w="3544" w:type="dxa"/>
          </w:tcPr>
          <w:p w:rsidR="005C5A10" w:rsidRPr="005C5A10" w:rsidRDefault="005C5A1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Thủ tục xác nhận thông tin hộ tịch</w:t>
            </w:r>
          </w:p>
        </w:tc>
        <w:tc>
          <w:tcPr>
            <w:tcW w:w="3402" w:type="dxa"/>
            <w:vMerge/>
          </w:tcPr>
          <w:p w:rsidR="005C5A10" w:rsidRPr="005C5A10" w:rsidRDefault="005C5A10" w:rsidP="0063540F">
            <w:pPr>
              <w:spacing w:after="0" w:line="240" w:lineRule="auto"/>
              <w:jc w:val="both"/>
              <w:rPr>
                <w:rFonts w:ascii="Times New Roman" w:eastAsia="Times New Roman" w:hAnsi="Times New Roman" w:cs="Times New Roman"/>
                <w:noProof/>
                <w:sz w:val="28"/>
                <w:szCs w:val="28"/>
                <w:lang w:val="en-US"/>
              </w:rPr>
            </w:pPr>
          </w:p>
        </w:tc>
        <w:tc>
          <w:tcPr>
            <w:tcW w:w="1701" w:type="dxa"/>
          </w:tcPr>
          <w:p w:rsidR="005C5A10" w:rsidRPr="005C5A10" w:rsidRDefault="005C5A10" w:rsidP="0063540F">
            <w:pPr>
              <w:spacing w:after="0" w:line="240" w:lineRule="auto"/>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Giao Chính phủ quy định chi tiết</w:t>
            </w:r>
          </w:p>
        </w:tc>
      </w:tr>
    </w:tbl>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Như vậy, tổng số TTHC được quy định sửa đổi, bổ sung là 0</w:t>
      </w:r>
      <w:r w:rsidR="00B632EF">
        <w:rPr>
          <w:rFonts w:ascii="Times New Roman" w:eastAsia="Times New Roman" w:hAnsi="Times New Roman" w:cs="Times New Roman"/>
          <w:noProof/>
          <w:sz w:val="28"/>
          <w:szCs w:val="28"/>
          <w:lang w:val="en-US"/>
        </w:rPr>
        <w:t>7</w:t>
      </w:r>
      <w:r w:rsidRPr="005C5A10">
        <w:rPr>
          <w:rFonts w:ascii="Times New Roman" w:eastAsia="Times New Roman" w:hAnsi="Times New Roman" w:cs="Times New Roman"/>
          <w:noProof/>
          <w:sz w:val="28"/>
          <w:szCs w:val="28"/>
          <w:lang w:val="en-US"/>
        </w:rPr>
        <w:t>/39 TTHC; tổng số TTHC được bãi bỏ là 2</w:t>
      </w:r>
      <w:r w:rsidR="00B632EF">
        <w:rPr>
          <w:rFonts w:ascii="Times New Roman" w:eastAsia="Times New Roman" w:hAnsi="Times New Roman" w:cs="Times New Roman"/>
          <w:noProof/>
          <w:sz w:val="28"/>
          <w:szCs w:val="28"/>
          <w:lang w:val="en-US"/>
        </w:rPr>
        <w:t>8</w:t>
      </w:r>
      <w:r w:rsidRPr="005C5A10">
        <w:rPr>
          <w:rFonts w:ascii="Times New Roman" w:eastAsia="Times New Roman" w:hAnsi="Times New Roman" w:cs="Times New Roman"/>
          <w:noProof/>
          <w:sz w:val="28"/>
          <w:szCs w:val="28"/>
          <w:lang w:val="en-US"/>
        </w:rPr>
        <w:t xml:space="preserve"> TTHC, tổng số TTHC được quy định giao Chính phủ quy định chi tiết là 0</w:t>
      </w:r>
      <w:r w:rsidR="00B632EF">
        <w:rPr>
          <w:rFonts w:ascii="Times New Roman" w:eastAsia="Times New Roman" w:hAnsi="Times New Roman" w:cs="Times New Roman"/>
          <w:noProof/>
          <w:sz w:val="28"/>
          <w:szCs w:val="28"/>
          <w:lang w:val="en-US"/>
        </w:rPr>
        <w:t>1</w:t>
      </w:r>
      <w:r w:rsidRPr="005C5A10">
        <w:rPr>
          <w:rFonts w:ascii="Times New Roman" w:eastAsia="Times New Roman" w:hAnsi="Times New Roman" w:cs="Times New Roman"/>
          <w:noProof/>
          <w:sz w:val="28"/>
          <w:szCs w:val="28"/>
          <w:lang w:val="en-US"/>
        </w:rPr>
        <w:t xml:space="preserve"> TTHC, tổng số TTHC được quy định giao Bộ trưởng Bộ Tư pháp quy định điều kiện, trình </w:t>
      </w:r>
      <w:r w:rsidRPr="005C5A10">
        <w:rPr>
          <w:rFonts w:ascii="Times New Roman" w:eastAsia="Times New Roman" w:hAnsi="Times New Roman" w:cs="Times New Roman"/>
          <w:noProof/>
          <w:sz w:val="28"/>
          <w:szCs w:val="28"/>
          <w:lang w:val="en-US"/>
        </w:rPr>
        <w:t>tự đăng ký là 03 TTHC. Việc giảm thiểu đáng kể số lượng TTHC, tinh gọn danh mục TTHC, cắt giảm 2</w:t>
      </w:r>
      <w:r w:rsidR="00B632EF">
        <w:rPr>
          <w:rFonts w:ascii="Times New Roman" w:eastAsia="Times New Roman" w:hAnsi="Times New Roman" w:cs="Times New Roman"/>
          <w:noProof/>
          <w:sz w:val="28"/>
          <w:szCs w:val="28"/>
          <w:lang w:val="en-US"/>
        </w:rPr>
        <w:t>8</w:t>
      </w:r>
      <w:r w:rsidRPr="005C5A10">
        <w:rPr>
          <w:rFonts w:ascii="Times New Roman" w:eastAsia="Times New Roman" w:hAnsi="Times New Roman" w:cs="Times New Roman"/>
          <w:noProof/>
          <w:sz w:val="28"/>
          <w:szCs w:val="28"/>
          <w:lang w:val="en-US"/>
        </w:rPr>
        <w:t xml:space="preserve">/39 TTHC (chiếm </w:t>
      </w:r>
      <w:r w:rsidR="00B632EF">
        <w:rPr>
          <w:rFonts w:ascii="Times New Roman" w:eastAsia="Times New Roman" w:hAnsi="Times New Roman" w:cs="Times New Roman"/>
          <w:noProof/>
          <w:sz w:val="28"/>
          <w:szCs w:val="28"/>
          <w:lang w:val="en-US"/>
        </w:rPr>
        <w:t>71</w:t>
      </w:r>
      <w:r w:rsidRPr="005C5A10">
        <w:rPr>
          <w:rFonts w:ascii="Times New Roman" w:eastAsia="Times New Roman" w:hAnsi="Times New Roman" w:cs="Times New Roman"/>
          <w:noProof/>
          <w:sz w:val="28"/>
          <w:szCs w:val="28"/>
          <w:lang w:val="en-US"/>
        </w:rPr>
        <w:t>.</w:t>
      </w:r>
      <w:r w:rsidR="00B632EF">
        <w:rPr>
          <w:rFonts w:ascii="Times New Roman" w:eastAsia="Times New Roman" w:hAnsi="Times New Roman" w:cs="Times New Roman"/>
          <w:noProof/>
          <w:sz w:val="28"/>
          <w:szCs w:val="28"/>
          <w:lang w:val="en-US"/>
        </w:rPr>
        <w:t>8</w:t>
      </w:r>
      <w:r w:rsidRPr="005C5A10">
        <w:rPr>
          <w:rFonts w:ascii="Times New Roman" w:eastAsia="Times New Roman" w:hAnsi="Times New Roman" w:cs="Times New Roman"/>
          <w:noProof/>
          <w:sz w:val="28"/>
          <w:szCs w:val="28"/>
          <w:lang w:val="en-US"/>
        </w:rPr>
        <w:t>%) phù hợp với quan điểm “cắt giảm triệt để, đơn giản hóa tối đa”. Sự thay đổi về mặt số lượng TTHC là cơ sở cho việc tái cấu trúc quy trì</w:t>
      </w:r>
      <w:r w:rsidRPr="005C5A10">
        <w:rPr>
          <w:rFonts w:ascii="Times New Roman" w:eastAsia="Times New Roman" w:hAnsi="Times New Roman" w:cs="Times New Roman"/>
          <w:noProof/>
          <w:sz w:val="28"/>
          <w:szCs w:val="28"/>
          <w:lang w:val="en-US"/>
        </w:rPr>
        <w:t>nh, loại bỏ các rào cản hành chính rườm rà nhằm tạo điều kiện thuận lợi nhất cho người dân. Về mặt lợi ích của người dân, số lượng TTHC giảm tạo thuận lợi cho người dân khi dễ dàng xác định, lựa chọn TTHC phù hợp với yêu cầu của cá nhân, thích hợp với đa d</w:t>
      </w:r>
      <w:r w:rsidRPr="005C5A10">
        <w:rPr>
          <w:rFonts w:ascii="Times New Roman" w:eastAsia="Times New Roman" w:hAnsi="Times New Roman" w:cs="Times New Roman"/>
          <w:noProof/>
          <w:sz w:val="28"/>
          <w:szCs w:val="28"/>
          <w:lang w:val="en-US"/>
        </w:rPr>
        <w:t xml:space="preserve">ạng đối tượng có trình độ dân trí khác nhau.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 xml:space="preserve">1.2. Đơn giản hóa về trình tự, thủ tục giải quyết thủ tục hành chính </w:t>
      </w:r>
    </w:p>
    <w:p w:rsidR="00296487" w:rsidRPr="005C5A10" w:rsidRDefault="00A31090" w:rsidP="0063540F">
      <w:pPr>
        <w:spacing w:before="120" w:after="120" w:line="240" w:lineRule="auto"/>
        <w:ind w:firstLine="567"/>
        <w:jc w:val="both"/>
        <w:rPr>
          <w:rFonts w:ascii="Times New Roman" w:eastAsia="Times New Roman" w:hAnsi="Times New Roman" w:cs="Times New Roman"/>
          <w:b/>
          <w:bCs/>
          <w:noProof/>
          <w:sz w:val="28"/>
          <w:szCs w:val="28"/>
          <w:lang w:val="en-US"/>
        </w:rPr>
      </w:pPr>
      <w:r w:rsidRPr="005C5A10">
        <w:rPr>
          <w:rFonts w:ascii="Times New Roman" w:eastAsia="Times New Roman" w:hAnsi="Times New Roman" w:cs="Times New Roman"/>
          <w:b/>
          <w:bCs/>
          <w:noProof/>
          <w:sz w:val="28"/>
          <w:szCs w:val="28"/>
          <w:lang w:val="en-US"/>
        </w:rPr>
        <w:t xml:space="preserve">Vê thành phần hồ sơ, cách thức thực hiện, giải quyết thủ tục hành chính,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Dự thảo Luật Hộ tịch (sửa đổi) quy định thống nhất việc cắt giảm t</w:t>
      </w:r>
      <w:r w:rsidRPr="005C5A10">
        <w:rPr>
          <w:rFonts w:ascii="Times New Roman" w:eastAsia="Times New Roman" w:hAnsi="Times New Roman" w:cs="Times New Roman"/>
          <w:noProof/>
          <w:sz w:val="28"/>
          <w:szCs w:val="28"/>
          <w:lang w:val="en-US"/>
        </w:rPr>
        <w:t>hành phần hồ sơ giấy, tăng ứng dụng công nghệ thông tin bằng việc tra cứu, khai thác dữ liệu có sẵn từ các cơ sở dữ liệu có liên quan để giải quyết yêu cầu đăng ký hộ tịch cho người dân. Qua đó, cắt giảm triệt để các giấy tờ người dân phải xuất trình để ch</w:t>
      </w:r>
      <w:r w:rsidRPr="005C5A10">
        <w:rPr>
          <w:rFonts w:ascii="Times New Roman" w:eastAsia="Times New Roman" w:hAnsi="Times New Roman" w:cs="Times New Roman"/>
          <w:noProof/>
          <w:sz w:val="28"/>
          <w:szCs w:val="28"/>
          <w:lang w:val="en-US"/>
        </w:rPr>
        <w:t xml:space="preserve">ứng minh nhân thân/chứng minh tình trạng cư trú. Đối với một số việc hộ tịch như đăng ký khai sinh/đăng ký khai tử nếu có giấy chứng sinh/giấy báo tử điện tử do cơ sở y tế cấp thì công chức hộ tịch cũng có trách nhiệm thu thập, tra cứu, giải quyết yêu cầu </w:t>
      </w:r>
      <w:r w:rsidRPr="005C5A10">
        <w:rPr>
          <w:rFonts w:ascii="Times New Roman" w:eastAsia="Times New Roman" w:hAnsi="Times New Roman" w:cs="Times New Roman"/>
          <w:noProof/>
          <w:sz w:val="28"/>
          <w:szCs w:val="28"/>
          <w:lang w:val="en-US"/>
        </w:rPr>
        <w:t xml:space="preserve">cho người dân.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Ngoài ra, Dự thảo Luật Hộ tịch (sửa đổi) cũng có quy định để tăng tỷ lệ TTHC cung cấp dịch vụ công trực tuyến toàn trình. Kế thừa nội dung đã được quy định tại Nghị định số 120/2025/NĐ-CP của Chính phủ quy định về phân định thẩm quyền của c</w:t>
      </w:r>
      <w:r w:rsidRPr="005C5A10">
        <w:rPr>
          <w:rFonts w:ascii="Times New Roman" w:eastAsia="Times New Roman" w:hAnsi="Times New Roman" w:cs="Times New Roman"/>
          <w:noProof/>
          <w:sz w:val="28"/>
          <w:szCs w:val="28"/>
          <w:lang w:val="en-US"/>
        </w:rPr>
        <w:t>hính quyền địa phương 02 cấp trong lĩnh vực quản lý của Bộ Tư pháp, ng</w:t>
      </w:r>
      <w:r w:rsidRPr="005C5A10">
        <w:rPr>
          <w:rFonts w:ascii="Times New Roman" w:eastAsia="Times New Roman" w:hAnsi="Times New Roman" w:cs="Times New Roman"/>
          <w:noProof/>
          <w:sz w:val="28"/>
          <w:szCs w:val="28"/>
          <w:lang w:val="en-US"/>
        </w:rPr>
        <w:t>oại</w:t>
      </w:r>
      <w:r w:rsidRPr="005C5A10">
        <w:rPr>
          <w:rFonts w:ascii="Times New Roman" w:eastAsia="Times New Roman" w:hAnsi="Times New Roman" w:cs="Times New Roman"/>
          <w:noProof/>
          <w:sz w:val="28"/>
          <w:szCs w:val="28"/>
          <w:lang w:val="en-US"/>
        </w:rPr>
        <w:t xml:space="preserve"> trừ thủ tục đăng ký kết hôn, đăng ký giám hộ, đăng ký nhận cha, mẹ, con, các bên phải có mặt thể hiện ý kiến/đánh giá điều kiện và ký/điểm chỉ vào Sổ hộ tịch, các TTHC khác không còn</w:t>
      </w:r>
      <w:r w:rsidRPr="005C5A10">
        <w:rPr>
          <w:rFonts w:ascii="Times New Roman" w:eastAsia="Times New Roman" w:hAnsi="Times New Roman" w:cs="Times New Roman"/>
          <w:noProof/>
          <w:sz w:val="28"/>
          <w:szCs w:val="28"/>
          <w:lang w:val="en-US"/>
        </w:rPr>
        <w:t xml:space="preserve"> quy định yêu cầu người dân phải có mặt tại nơi đăng ký.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Quy trình giải quyết nghiệp vụ của công chức hộ tịch cũng có sự điều chỉnh, Dự thảo Luật Hộ tịch (sửa đổi) quy định chỉ đối với 03 TTHC thiết yếu là đăng ký khai sinh, đăng ký kết hôn, đăng ký khai </w:t>
      </w:r>
      <w:r w:rsidRPr="005C5A10">
        <w:rPr>
          <w:rFonts w:ascii="Times New Roman" w:eastAsia="Times New Roman" w:hAnsi="Times New Roman" w:cs="Times New Roman"/>
          <w:noProof/>
          <w:sz w:val="28"/>
          <w:szCs w:val="28"/>
          <w:lang w:val="en-US"/>
        </w:rPr>
        <w:t>tử, công chức hô tịch có trách nhiệm ghi vào Sổ hộ tịch trước khi báo cáo Chủ tịch UBND cấp xã xem xét, quyết định cấp giấy tờ hộ tịch. Đối với các yêu cầu khác, Dự thảo Luật Hộ tịch (sửa đổi) quy định công chức hộ tịch thực hiện việc báo cáo Chủ tịch UBND</w:t>
      </w:r>
      <w:r w:rsidRPr="005C5A10">
        <w:rPr>
          <w:rFonts w:ascii="Times New Roman" w:eastAsia="Times New Roman" w:hAnsi="Times New Roman" w:cs="Times New Roman"/>
          <w:noProof/>
          <w:sz w:val="28"/>
          <w:szCs w:val="28"/>
          <w:lang w:val="en-US"/>
        </w:rPr>
        <w:t xml:space="preserve"> cấp xã xem xét, cấp giấy tờ hộ tịch (Dự thảo Luật Hộ tịch (sửa đổi) quy định giao Chính phủ quy định chi tiết hồ sơ, điều kiện, trình tự và thủ tục).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Về thẩm quyền đăng ký hộ tịch,</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Thẩm quyền đăng ký hộ tịch được quy định tại Dự thảo Luật Hộ tịch (sửa đ</w:t>
      </w:r>
      <w:r w:rsidRPr="005C5A10">
        <w:rPr>
          <w:rFonts w:ascii="Times New Roman" w:eastAsia="Times New Roman" w:hAnsi="Times New Roman" w:cs="Times New Roman"/>
          <w:noProof/>
          <w:sz w:val="28"/>
          <w:szCs w:val="28"/>
          <w:lang w:val="en-US"/>
        </w:rPr>
        <w:t>ổi) bao gồm các nội dung chính như sau:</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Phân quyền triệt để cho UBND cấp xã giải quyết các việc hộ tịch, đặc biệt là trong việc chuyển giao thẩm quyền đối với các việc hộ tịch thuộc trách nhiệm thực hiện của UBND cấp huyện trước đây.</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 Thay đổi nguyên tắc xác định thẩm quyền, từ xác định thẩm quyền theo nơi cư trú thay bằng đến bất kỳ địa điểm nào trong tỉnh - thẩm quyền không phụ thuộc vào nơi cư trú.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Việc đơn giản hóa về thẩm quyền, trình tự, thủ tục giải quyết TTHC như nêu trên đư</w:t>
      </w:r>
      <w:r w:rsidRPr="005C5A10">
        <w:rPr>
          <w:rFonts w:ascii="Times New Roman" w:eastAsia="Times New Roman" w:hAnsi="Times New Roman" w:cs="Times New Roman"/>
          <w:noProof/>
          <w:sz w:val="28"/>
          <w:szCs w:val="28"/>
          <w:lang w:val="en-US"/>
        </w:rPr>
        <w:t xml:space="preserve">ợc đánh giá mang lại lợi ích to lớn đối với cả người dân, xã hội và cơ quan nhà nước.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Thứ nhất, quy định tại Dự thảo Luật Hộ tịch (sửa đổi) đã góp phần giảm đáng kể chi phí trực tiếp khi thực hiện TTHC. Việc giảm thành phần hồ sơ giúp người dân không phải</w:t>
      </w:r>
      <w:r w:rsidRPr="005C5A10">
        <w:rPr>
          <w:rFonts w:ascii="Times New Roman" w:eastAsia="Times New Roman" w:hAnsi="Times New Roman" w:cs="Times New Roman"/>
          <w:noProof/>
          <w:sz w:val="28"/>
          <w:szCs w:val="28"/>
          <w:lang w:val="en-US"/>
        </w:rPr>
        <w:t xml:space="preserve"> dành thời gian để chuẩn bị hồ sơ, không phát sinh chi phí in ấn hoặc mất thời gian đi lại nhiều lần, tới nhiều nơi để thu thập, chuẩn bị giấy tờ. Theo kết quả đánh giá </w:t>
      </w:r>
      <w:r w:rsidR="005C5A10">
        <w:rPr>
          <w:rFonts w:ascii="Times New Roman" w:eastAsia="Times New Roman" w:hAnsi="Times New Roman" w:cs="Times New Roman"/>
          <w:noProof/>
          <w:sz w:val="28"/>
          <w:szCs w:val="28"/>
          <w:lang w:val="en-US"/>
        </w:rPr>
        <w:t xml:space="preserve">sơ bộ </w:t>
      </w:r>
      <w:r w:rsidRPr="005C5A10">
        <w:rPr>
          <w:rFonts w:ascii="Times New Roman" w:eastAsia="Times New Roman" w:hAnsi="Times New Roman" w:cs="Times New Roman"/>
          <w:noProof/>
          <w:sz w:val="28"/>
          <w:szCs w:val="28"/>
          <w:lang w:val="en-US"/>
        </w:rPr>
        <w:t xml:space="preserve">chi phí tuân thủ thủ tục hành chính, thông qua các quy định đơn giản hóa nêu trên, chi </w:t>
      </w:r>
      <w:r w:rsidRPr="005C5A10">
        <w:rPr>
          <w:rFonts w:ascii="Times New Roman" w:eastAsia="Times New Roman" w:hAnsi="Times New Roman" w:cs="Times New Roman"/>
          <w:noProof/>
          <w:sz w:val="28"/>
          <w:szCs w:val="28"/>
          <w:lang w:val="en-US"/>
        </w:rPr>
        <w:t>phí thực hiện TTHC giảm trung bình từ 40-70%. Riêng các TTHC thiết yếu như đăng ký khai sinh, đăng ký kết hôn, đăng ký khai tử, tỷ lệ này đạt mức cao. Đối với thủ tục đăng ký khai sinh, với số lượng hồ sơ trung bình 3.000.000 hồ sơ/năm</w:t>
      </w:r>
      <w:r w:rsidRPr="005C5A10">
        <w:rPr>
          <w:rFonts w:ascii="Times New Roman" w:eastAsia="Times New Roman" w:hAnsi="Times New Roman" w:cs="Times New Roman"/>
          <w:noProof/>
          <w:sz w:val="28"/>
          <w:szCs w:val="28"/>
          <w:vertAlign w:val="superscript"/>
          <w:lang w:val="en-US"/>
        </w:rPr>
        <w:footnoteReference w:id="1"/>
      </w:r>
      <w:r w:rsidRPr="005C5A10">
        <w:rPr>
          <w:rFonts w:ascii="Times New Roman" w:eastAsia="Times New Roman" w:hAnsi="Times New Roman" w:cs="Times New Roman"/>
          <w:noProof/>
          <w:sz w:val="28"/>
          <w:szCs w:val="28"/>
          <w:lang w:val="en-US"/>
        </w:rPr>
        <w:t>, sau khi cắt giảm c</w:t>
      </w:r>
      <w:r w:rsidRPr="005C5A10">
        <w:rPr>
          <w:rFonts w:ascii="Times New Roman" w:eastAsia="Times New Roman" w:hAnsi="Times New Roman" w:cs="Times New Roman"/>
          <w:noProof/>
          <w:sz w:val="28"/>
          <w:szCs w:val="28"/>
          <w:lang w:val="en-US"/>
        </w:rPr>
        <w:t>ác giấy tờ chứng minh nơi cư trú, giấy tờ chứng minh nhân thân, giấy tờ chứng minh sự kiện sinh (như giấy chứng sinh do cơ sở y tế cấp)… mà cơ quan đăng ký hộ tịch có thể tra cứu, chủ động thu thập dữ liệu, chi phí tuân thủ TTHC giảm từ 1.076,85 tỷ đồng xu</w:t>
      </w:r>
      <w:r w:rsidRPr="005C5A10">
        <w:rPr>
          <w:rFonts w:ascii="Times New Roman" w:eastAsia="Times New Roman" w:hAnsi="Times New Roman" w:cs="Times New Roman"/>
          <w:noProof/>
          <w:sz w:val="28"/>
          <w:szCs w:val="28"/>
          <w:lang w:val="en-US"/>
        </w:rPr>
        <w:t>ống còn 299,1 tỷ đồng, cắt giảm được 72,22%. Đối với thủ tục đăng ký kết hôn, với số lượng hồ sơ trung bình 700.000 hồ sơ/năm</w:t>
      </w:r>
      <w:r w:rsidRPr="005C5A10">
        <w:rPr>
          <w:rFonts w:ascii="Times New Roman" w:eastAsia="Times New Roman" w:hAnsi="Times New Roman" w:cs="Times New Roman"/>
          <w:noProof/>
          <w:sz w:val="28"/>
          <w:szCs w:val="28"/>
          <w:vertAlign w:val="superscript"/>
          <w:lang w:val="en-US"/>
        </w:rPr>
        <w:footnoteReference w:id="2"/>
      </w:r>
      <w:r w:rsidRPr="005C5A10">
        <w:rPr>
          <w:rFonts w:ascii="Times New Roman" w:eastAsia="Times New Roman" w:hAnsi="Times New Roman" w:cs="Times New Roman"/>
          <w:noProof/>
          <w:sz w:val="28"/>
          <w:szCs w:val="28"/>
          <w:lang w:val="en-US"/>
        </w:rPr>
        <w:t xml:space="preserve">, sau khi cắt giảm các giấy tờ chứng minh nơi cư trú, giấy tờ chứng minh nhân thân, văn bản xác nhận tình trạng hôn nhân chứa các </w:t>
      </w:r>
      <w:r w:rsidRPr="005C5A10">
        <w:rPr>
          <w:rFonts w:ascii="Times New Roman" w:eastAsia="Times New Roman" w:hAnsi="Times New Roman" w:cs="Times New Roman"/>
          <w:noProof/>
          <w:sz w:val="28"/>
          <w:szCs w:val="28"/>
          <w:lang w:val="en-US"/>
        </w:rPr>
        <w:t>thông tin mà cơ quan đăng ký hộ tịch có thể tra cứu…, chi phí tuân thủ TTHC giảm từ 219,784 tỷ đồng xuống còn 123,234 tỷ đồng, cắt giảm được 43,93%. Đối với thủ tục đăng ký khai tử, căn cứ số lượng hồ sơ trung bình 600.000 hồ sơ/năm</w:t>
      </w:r>
      <w:r w:rsidRPr="005C5A10">
        <w:rPr>
          <w:rFonts w:ascii="Times New Roman" w:eastAsia="Times New Roman" w:hAnsi="Times New Roman" w:cs="Times New Roman"/>
          <w:noProof/>
          <w:sz w:val="28"/>
          <w:szCs w:val="28"/>
          <w:vertAlign w:val="superscript"/>
          <w:lang w:val="en-US"/>
        </w:rPr>
        <w:footnoteReference w:id="3"/>
      </w:r>
      <w:r w:rsidRPr="005C5A10">
        <w:rPr>
          <w:rFonts w:ascii="Times New Roman" w:eastAsia="Times New Roman" w:hAnsi="Times New Roman" w:cs="Times New Roman"/>
          <w:noProof/>
          <w:sz w:val="28"/>
          <w:szCs w:val="28"/>
          <w:lang w:val="en-US"/>
        </w:rPr>
        <w:t>, sau khi cắt giảm các giấy tờ chứng minh nơi cư trú, giấy tờ chứng minh nhân thân, giấy tờ chứa các thông tin mà cơ quan đăng ký hộ tịch có thể tra cứu có liên quan đến nội dung đăng ký khai tử…, chi phí tuân thủ TTHC giảm từ 219,65 tỷ đồng xuống còn 71,0</w:t>
      </w:r>
      <w:r w:rsidRPr="005C5A10">
        <w:rPr>
          <w:rFonts w:ascii="Times New Roman" w:eastAsia="Times New Roman" w:hAnsi="Times New Roman" w:cs="Times New Roman"/>
          <w:noProof/>
          <w:sz w:val="28"/>
          <w:szCs w:val="28"/>
          <w:lang w:val="en-US"/>
        </w:rPr>
        <w:t xml:space="preserve">15 tỷ đồng, cắt giảm được 67,67%.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Thứ hai, các quy định về đơn giản hóa TTHC trong Dự thảo Luật Hộ tịch (sửa đổi) cũng giảm thiểu chi phí cơ hội, tiết kiệm thời gian cho người dân trong quá trình thực hiện TTHC. Theo Dự thảo Luật Hộ tịch (sửa đổi), số lượ</w:t>
      </w:r>
      <w:r w:rsidRPr="005C5A10">
        <w:rPr>
          <w:rFonts w:ascii="Times New Roman" w:eastAsia="Times New Roman" w:hAnsi="Times New Roman" w:cs="Times New Roman"/>
          <w:noProof/>
          <w:sz w:val="28"/>
          <w:szCs w:val="28"/>
          <w:lang w:val="en-US"/>
        </w:rPr>
        <w:t>ng TTHC toàn trình chiếm trên 50% (4/7 TTHC đều có thể thực hiện toàn trình, trừ TTHC đăng ký kết hôn, đăng ký giám hộ, đăng ký nhận cha, mẹ, con). Việc này tạo thuận lợi cho người dân khi không cần thiết phải có mặt tại cơ quan đăng ký để ký tên vào Sổ hộ</w:t>
      </w:r>
      <w:r w:rsidRPr="005C5A10">
        <w:rPr>
          <w:rFonts w:ascii="Times New Roman" w:eastAsia="Times New Roman" w:hAnsi="Times New Roman" w:cs="Times New Roman"/>
          <w:noProof/>
          <w:sz w:val="28"/>
          <w:szCs w:val="28"/>
          <w:lang w:val="en-US"/>
        </w:rPr>
        <w:t xml:space="preserve"> tịch và nhận giấy tờ hộ tịch được cấp. Người dân sẽ được nhận bản điện tử của giấy tờ hộ tịch và có thể nhận bản giấy của giấy tờ ở bất kỳ đâu. Đối với TTHC yêu cầu phải có mặt tại nơi đăng ký, hoặc do điều kiện, hoàn cảnh, người dân thực hiện trực tiếp v</w:t>
      </w:r>
      <w:r w:rsidRPr="005C5A10">
        <w:rPr>
          <w:rFonts w:ascii="Times New Roman" w:eastAsia="Times New Roman" w:hAnsi="Times New Roman" w:cs="Times New Roman"/>
          <w:noProof/>
          <w:sz w:val="28"/>
          <w:szCs w:val="28"/>
          <w:lang w:val="en-US"/>
        </w:rPr>
        <w:t>iệc nộp hồ sơ tại cơ quan đăng ký hộ tịch, quy định thẩm quyền giải quyết tại UBND cấp xã nơi cư trú trong phạm vi cấp tỉnh cũng tạo thuận lợi hơn cho người dân khi thực hiện TTHC. Người dân hoàn toàn có thể lựa chọn Trung tâm phục vụ hành chính công gần k</w:t>
      </w:r>
      <w:r w:rsidRPr="005C5A10">
        <w:rPr>
          <w:rFonts w:ascii="Times New Roman" w:eastAsia="Times New Roman" w:hAnsi="Times New Roman" w:cs="Times New Roman"/>
          <w:noProof/>
          <w:sz w:val="28"/>
          <w:szCs w:val="28"/>
          <w:lang w:val="en-US"/>
        </w:rPr>
        <w:t xml:space="preserve">hu vực sinh sống để nộp và thực hiện TTHC, không bắt buộc phải đến UBND cấp xã nơi cư trú nếu khoảng cách đi lại xa hơn), góp phần giảm thiểu thời gian đi lại, tiết kiệm thời gian, công sức cũng như tiền bạc.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Thứ ba, quy định đơn giản hóa TTHC cũng góp p</w:t>
      </w:r>
      <w:r w:rsidRPr="005C5A10">
        <w:rPr>
          <w:rFonts w:ascii="Times New Roman" w:eastAsia="Times New Roman" w:hAnsi="Times New Roman" w:cs="Times New Roman"/>
          <w:noProof/>
          <w:sz w:val="28"/>
          <w:szCs w:val="28"/>
          <w:lang w:val="en-US"/>
        </w:rPr>
        <w:t>hần hỗ trợ tối ưu hóa nguồn lực của bộ máy nhà nước. Với quy định việc khai thác thông tin của người dân trên cơ sở dữ liệu có liên quan, công chức hộ tịch sẽ không phải mất thời gian cập nhật thông tin thủ công vào Sổ hộ tịch giấy hoặc Hệ thống đăng ký, q</w:t>
      </w:r>
      <w:r w:rsidRPr="005C5A10">
        <w:rPr>
          <w:rFonts w:ascii="Times New Roman" w:eastAsia="Times New Roman" w:hAnsi="Times New Roman" w:cs="Times New Roman"/>
          <w:noProof/>
          <w:sz w:val="28"/>
          <w:szCs w:val="28"/>
          <w:lang w:val="en-US"/>
        </w:rPr>
        <w:t>uản lý hộ tịch điện tử. Thay vào đó, nhờ ứng dụng công nghệ, các thông tin thu thập được có thể chuyển tự động theo thao tác của công chức hộ tịch. Do đó, việc giải quyết nghiệp vụ hộ tịch cũng được giảm thiểu thời gian thực hiện, đồng thời hạn chế được nh</w:t>
      </w:r>
      <w:r w:rsidRPr="005C5A10">
        <w:rPr>
          <w:rFonts w:ascii="Times New Roman" w:eastAsia="Times New Roman" w:hAnsi="Times New Roman" w:cs="Times New Roman"/>
          <w:noProof/>
          <w:sz w:val="28"/>
          <w:szCs w:val="28"/>
          <w:lang w:val="en-US"/>
        </w:rPr>
        <w:t>ững sai sót do nhập thông tin không chính xác. Một số TTHC Dự thảo Luật Hộ tịch (sửa đổi) đã quy định không cần thiết thực hiện việc ghi Sổ hộ tịch giấy (ghi tay trực tiếp mà in trực tiếp từ Phần mềm) nên cũng rút ngắn được thời gian giải quyết, nâng cao h</w:t>
      </w:r>
      <w:r w:rsidRPr="005C5A10">
        <w:rPr>
          <w:rFonts w:ascii="Times New Roman" w:eastAsia="Times New Roman" w:hAnsi="Times New Roman" w:cs="Times New Roman"/>
          <w:noProof/>
          <w:sz w:val="28"/>
          <w:szCs w:val="28"/>
          <w:lang w:val="en-US"/>
        </w:rPr>
        <w:t xml:space="preserve">iệu suất công việc cho công chức hộ tịch.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Ngoài ra, việc cắt giảm thành phần hồ sơ giấy cũng hạn chế được khó khăn trong việc bố trí hạ tầng lưu trữ/kho lưu trữ hồ sơ bản giấy hiện nay.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Đánh giá chung, việc sửa đổi, bổ sung TTHC tại Dự thảo Luật </w:t>
      </w:r>
      <w:r w:rsidRPr="005C5A10">
        <w:rPr>
          <w:rFonts w:ascii="Times New Roman" w:eastAsia="Times New Roman" w:hAnsi="Times New Roman" w:cs="Times New Roman"/>
          <w:noProof/>
          <w:sz w:val="28"/>
          <w:szCs w:val="28"/>
          <w:lang w:val="en-US"/>
        </w:rPr>
        <w:t>Hộ tịch (sửa đổi) đã đảm bảo sự cần thiết, tính hợp lý, tính hợp pháp cũng như giảm thiểu đáng kể chi phí tuân thủ thủ tục hành chính.</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iCs/>
          <w:noProof/>
          <w:sz w:val="28"/>
          <w:szCs w:val="28"/>
          <w:lang w:val="en-US"/>
        </w:rPr>
        <w:t>Về tính chi phí tuân thủ của từng thủ tục hành chính, các q</w:t>
      </w:r>
      <w:r w:rsidRPr="005C5A10">
        <w:rPr>
          <w:rFonts w:ascii="Times New Roman" w:eastAsia="Times New Roman" w:hAnsi="Times New Roman" w:cs="Times New Roman"/>
          <w:iCs/>
          <w:noProof/>
          <w:sz w:val="28"/>
          <w:szCs w:val="28"/>
          <w:lang w:val="en-US"/>
        </w:rPr>
        <w:t>uy định TTHC tại Dự thảo Luật Hộ tịch (sửa đổi) chưa quy định đầy đủ, chi tiết, một vài bộ phần cấu thành như thành phần hồ sơ, trình tự, thủ tục giải quyết giao Chính phủ</w:t>
      </w:r>
      <w:r w:rsidR="005C5A10">
        <w:rPr>
          <w:rFonts w:ascii="Times New Roman" w:eastAsia="Times New Roman" w:hAnsi="Times New Roman" w:cs="Times New Roman"/>
          <w:iCs/>
          <w:noProof/>
          <w:sz w:val="28"/>
          <w:szCs w:val="28"/>
          <w:lang w:val="en-US"/>
        </w:rPr>
        <w:t>, Bộ trưởng Bộ Tư pháp</w:t>
      </w:r>
      <w:r w:rsidRPr="005C5A10">
        <w:rPr>
          <w:rFonts w:ascii="Times New Roman" w:eastAsia="Times New Roman" w:hAnsi="Times New Roman" w:cs="Times New Roman"/>
          <w:iCs/>
          <w:noProof/>
          <w:sz w:val="28"/>
          <w:szCs w:val="28"/>
          <w:lang w:val="en-US"/>
        </w:rPr>
        <w:t xml:space="preserve"> quy định chi tiết</w:t>
      </w:r>
      <w:r w:rsidR="005C5A10">
        <w:rPr>
          <w:rFonts w:ascii="Times New Roman" w:eastAsia="Times New Roman" w:hAnsi="Times New Roman" w:cs="Times New Roman"/>
          <w:iCs/>
          <w:noProof/>
          <w:sz w:val="28"/>
          <w:szCs w:val="28"/>
          <w:lang w:val="en-US"/>
        </w:rPr>
        <w:t>.</w:t>
      </w:r>
      <w:r w:rsidRPr="005C5A10">
        <w:rPr>
          <w:rFonts w:ascii="Times New Roman" w:eastAsia="Times New Roman" w:hAnsi="Times New Roman" w:cs="Times New Roman"/>
          <w:iCs/>
          <w:noProof/>
          <w:sz w:val="28"/>
          <w:szCs w:val="28"/>
          <w:lang w:val="en-US"/>
        </w:rPr>
        <w:t xml:space="preserve"> </w:t>
      </w:r>
      <w:r w:rsidR="005C5A10">
        <w:rPr>
          <w:rFonts w:ascii="Times New Roman" w:eastAsia="Times New Roman" w:hAnsi="Times New Roman" w:cs="Times New Roman"/>
          <w:iCs/>
          <w:noProof/>
          <w:sz w:val="28"/>
          <w:szCs w:val="28"/>
          <w:lang w:val="en-US"/>
        </w:rPr>
        <w:t>D</w:t>
      </w:r>
      <w:r w:rsidRPr="005C5A10">
        <w:rPr>
          <w:rFonts w:ascii="Times New Roman" w:eastAsia="Times New Roman" w:hAnsi="Times New Roman" w:cs="Times New Roman"/>
          <w:iCs/>
          <w:noProof/>
          <w:sz w:val="28"/>
          <w:szCs w:val="28"/>
          <w:lang w:val="en-US"/>
        </w:rPr>
        <w:t>o đó</w:t>
      </w:r>
      <w:r w:rsidR="005C5A10">
        <w:rPr>
          <w:rFonts w:ascii="Times New Roman" w:eastAsia="Times New Roman" w:hAnsi="Times New Roman" w:cs="Times New Roman"/>
          <w:iCs/>
          <w:noProof/>
          <w:sz w:val="28"/>
          <w:szCs w:val="28"/>
          <w:lang w:val="en-US"/>
        </w:rPr>
        <w:t>,</w:t>
      </w:r>
      <w:r w:rsidRPr="005C5A10">
        <w:rPr>
          <w:rFonts w:ascii="Times New Roman" w:eastAsia="Times New Roman" w:hAnsi="Times New Roman" w:cs="Times New Roman"/>
          <w:iCs/>
          <w:noProof/>
          <w:sz w:val="28"/>
          <w:szCs w:val="28"/>
          <w:lang w:val="en-US"/>
        </w:rPr>
        <w:t xml:space="preserve"> việc tính chi phí tuân thủ TTHC được đánh giá </w:t>
      </w:r>
      <w:r w:rsidR="005C5A10">
        <w:rPr>
          <w:rFonts w:ascii="Times New Roman" w:eastAsia="Times New Roman" w:hAnsi="Times New Roman" w:cs="Times New Roman"/>
          <w:iCs/>
          <w:noProof/>
          <w:sz w:val="28"/>
          <w:szCs w:val="28"/>
          <w:lang w:val="en-US"/>
        </w:rPr>
        <w:t xml:space="preserve">sơ bộ </w:t>
      </w:r>
      <w:r w:rsidRPr="005C5A10">
        <w:rPr>
          <w:rFonts w:ascii="Times New Roman" w:eastAsia="Times New Roman" w:hAnsi="Times New Roman" w:cs="Times New Roman"/>
          <w:iCs/>
          <w:noProof/>
          <w:sz w:val="28"/>
          <w:szCs w:val="28"/>
          <w:lang w:val="en-US"/>
        </w:rPr>
        <w:t>tương đối, tr</w:t>
      </w:r>
      <w:r w:rsidRPr="005C5A10">
        <w:rPr>
          <w:rFonts w:ascii="Times New Roman" w:eastAsia="Times New Roman" w:hAnsi="Times New Roman" w:cs="Times New Roman"/>
          <w:iCs/>
          <w:noProof/>
          <w:sz w:val="28"/>
          <w:szCs w:val="28"/>
          <w:lang w:val="en-US"/>
        </w:rPr>
        <w:t>ong điều kiện TTHC được cắt giảm triệt để thành phần hồ sơ giấy tờ, công chức hộ tịch có thể thực hiện tra cứu khai thác toàn bộ dữ liệu liên quan đến thông tin hồ sơ thủ tục hành chính từ các cơ sở dữ liệu có liên quan, nhằm mục đích đánh giá tính ưu việt</w:t>
      </w:r>
      <w:r w:rsidRPr="005C5A10">
        <w:rPr>
          <w:rFonts w:ascii="Times New Roman" w:eastAsia="Times New Roman" w:hAnsi="Times New Roman" w:cs="Times New Roman"/>
          <w:iCs/>
          <w:noProof/>
          <w:sz w:val="28"/>
          <w:szCs w:val="28"/>
          <w:lang w:val="en-US"/>
        </w:rPr>
        <w:t>, hiệu quả trong định hướng xây dựng Dự thảo Luật Hộ tịch (sửa đổi).</w:t>
      </w:r>
      <w:r w:rsidR="005C5A10">
        <w:rPr>
          <w:rFonts w:ascii="Times New Roman" w:eastAsia="Times New Roman" w:hAnsi="Times New Roman" w:cs="Times New Roman"/>
          <w:iCs/>
          <w:noProof/>
          <w:sz w:val="28"/>
          <w:szCs w:val="28"/>
          <w:lang w:val="en-US"/>
        </w:rPr>
        <w:t xml:space="preserve"> Chi tiết biểu mẫu chi phí tuân thủ thủ tục hành chính sẽ được tính toán cụ thể khi xây dựng Dự thảo Nghị định, Thông tư của Bộ trưởng Bộ Tư pháp quy định chi tiết hồ sơ, thời hạn, trình tự, thủ tục giải quyết của từng TTHC. </w:t>
      </w:r>
      <w:r w:rsidRPr="005C5A10">
        <w:rPr>
          <w:rFonts w:ascii="Times New Roman" w:eastAsia="Times New Roman" w:hAnsi="Times New Roman" w:cs="Times New Roman"/>
          <w:iCs/>
          <w:noProof/>
          <w:sz w:val="28"/>
          <w:szCs w:val="28"/>
          <w:lang w:val="en-US"/>
        </w:rPr>
        <w:t xml:space="preserve">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2. Việc phân quyền, phân cấp</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Dự thảo Luật Hộ tịch (sửa đổi) quy định theo hướng phân quyền toàn bộ thẩm quyền đăng ký hộ tịch cho Ủy ban nhân dân cấp xã, cấp tỉnh và Trung ương chỉ thực</w:t>
      </w:r>
      <w:r w:rsidRPr="005C5A10">
        <w:rPr>
          <w:rFonts w:ascii="Times New Roman" w:eastAsia="Times New Roman" w:hAnsi="Times New Roman" w:cs="Times New Roman"/>
          <w:noProof/>
          <w:sz w:val="28"/>
          <w:szCs w:val="28"/>
          <w:lang w:val="en-US"/>
        </w:rPr>
        <w:t xml:space="preserve"> hiện nhiệm vụ quản lý; chuyển giao thẩm quyền đăng ký hộ tịch của UBND cấp huyện (trước đây) cho UBND cấp xã.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Việc quy định phân quyền theo hướng như trên là phù hợp với tinh thần của Nghị quyết số 60-NQ/TW ngày 12/4/2025 của Ban Chấp hành Trung ương tại</w:t>
      </w:r>
      <w:r w:rsidRPr="005C5A10">
        <w:rPr>
          <w:rFonts w:ascii="Times New Roman" w:eastAsia="Times New Roman" w:hAnsi="Times New Roman" w:cs="Times New Roman"/>
          <w:noProof/>
          <w:sz w:val="28"/>
          <w:szCs w:val="28"/>
          <w:lang w:val="en-US"/>
        </w:rPr>
        <w:t xml:space="preserve"> Hội nghị lần thứ 11 của Ban Chấp hành Trung ương Đảng khoá XIII; Kết luận số 21/KL/TW ngày 24/1/2025 của Ban Chấp hành Trung ương Đảng khoá XIII về việc tổng kết Nghị quyết số 18-NQ/TW; Nghị quyết số 66-NQ/TW ngày 30/4/2025 của Bộ Chính trị về đổi mới cô</w:t>
      </w:r>
      <w:r w:rsidRPr="005C5A10">
        <w:rPr>
          <w:rFonts w:ascii="Times New Roman" w:eastAsia="Times New Roman" w:hAnsi="Times New Roman" w:cs="Times New Roman"/>
          <w:noProof/>
          <w:sz w:val="28"/>
          <w:szCs w:val="28"/>
          <w:lang w:val="en-US"/>
        </w:rPr>
        <w:t>ng tác xây dựng và thi hành pháp luật đáp ứng yêu cầu phát triển đất nước trong kỷ nguyên mới: xác định rõ trách nhiệm giữa Trung ương và địa phương và giữa các cấp chính quyền địa phương; đáp ứng yêu cầu thực hiện chủ trương tinh gọn tổ chức bộ máy của hệ</w:t>
      </w:r>
      <w:r w:rsidRPr="005C5A10">
        <w:rPr>
          <w:rFonts w:ascii="Times New Roman" w:eastAsia="Times New Roman" w:hAnsi="Times New Roman" w:cs="Times New Roman"/>
          <w:noProof/>
          <w:sz w:val="28"/>
          <w:szCs w:val="28"/>
          <w:lang w:val="en-US"/>
        </w:rPr>
        <w:t xml:space="preserve"> thống chính trị, sắp xếp đơn vị hành chính, gắn với phân cấp, phân quyền tối đa theo phương châm “địa phương quyết, địa phương làm, địa phương chịu trách nhiệm”. Đồng thời, việc phân quyền giải quyết TTHC từ UBND cấp huyện về UBND cấp xã cũng phù hợp với </w:t>
      </w:r>
      <w:r w:rsidRPr="005C5A10">
        <w:rPr>
          <w:rFonts w:ascii="Times New Roman" w:eastAsia="Times New Roman" w:hAnsi="Times New Roman" w:cs="Times New Roman"/>
          <w:noProof/>
          <w:sz w:val="28"/>
          <w:szCs w:val="28"/>
          <w:lang w:val="en-US"/>
        </w:rPr>
        <w:t xml:space="preserve">mô hình chính quyền địa phương 02 cấp theo Nghị quyết số 203/2025/QH15 về sửa đổi, bổ sung một số điều của Hiến pháp nước Cộng hòa xã hội chủ nghĩa Việt Nam và Luật Tổ chức quyền địa phương số 72/2025/QH15.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Để thực hiện nội dung được phân quyền theo quy đ</w:t>
      </w:r>
      <w:r w:rsidRPr="005C5A10">
        <w:rPr>
          <w:rFonts w:ascii="Times New Roman" w:eastAsia="Times New Roman" w:hAnsi="Times New Roman" w:cs="Times New Roman"/>
          <w:noProof/>
          <w:sz w:val="28"/>
          <w:szCs w:val="28"/>
          <w:lang w:val="en-US"/>
        </w:rPr>
        <w:t>ịnh của Dự thảo Luật Hộ tịch (sửa đổi), đòi hỏi nhà nước phải có cơ chế bảo đảm nguồn lực để đáp ứng yêu cầu giải quyết TTHC với số lượng lớn, phù hợp với quy mô dân số hiện nay của đơn vị hành chính cấp xã. Trong đó, vấn đề đảm bảo nguồn nhân lực là yếu t</w:t>
      </w:r>
      <w:r w:rsidRPr="005C5A10">
        <w:rPr>
          <w:rFonts w:ascii="Times New Roman" w:eastAsia="Times New Roman" w:hAnsi="Times New Roman" w:cs="Times New Roman"/>
          <w:noProof/>
          <w:sz w:val="28"/>
          <w:szCs w:val="28"/>
          <w:lang w:val="en-US"/>
        </w:rPr>
        <w:t xml:space="preserve">ố quan trọng và then chốt, cần đảm bảo biên chế công chức hộ tịch đáp ứng đủ yêu cầu phục vụ hành chính công cho người dân, song song với đó là cần bố trí đào tạo, tập huấn chuyên sâu, đặc biệt là những nghiệp vụ hộ tịch trước đây không được giao cho UBND </w:t>
      </w:r>
      <w:r w:rsidRPr="005C5A10">
        <w:rPr>
          <w:rFonts w:ascii="Times New Roman" w:eastAsia="Times New Roman" w:hAnsi="Times New Roman" w:cs="Times New Roman"/>
          <w:noProof/>
          <w:sz w:val="28"/>
          <w:szCs w:val="28"/>
          <w:lang w:val="en-US"/>
        </w:rPr>
        <w:t xml:space="preserve">cấp xã thực hiện (các nghiệp vụ hộ tịch thuộc thẩm quyền của UBND cấp huyện trước đây). Ngoài ra, vấn đề đảm bảo đầu tư cho cơ sở vật chất, trang thiết bị máy móc để giải quyết yêu cầu TTHC cũng cần được ưu tiên.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Trên cơ sở đó, Dự thảo Luật Hộ tịch (sửa đ</w:t>
      </w:r>
      <w:r w:rsidRPr="005C5A10">
        <w:rPr>
          <w:rFonts w:ascii="Times New Roman" w:eastAsia="Times New Roman" w:hAnsi="Times New Roman" w:cs="Times New Roman"/>
          <w:noProof/>
          <w:sz w:val="28"/>
          <w:szCs w:val="28"/>
          <w:lang w:val="en-US"/>
        </w:rPr>
        <w:t>ổi) đã xây dựng một mục riêng liên quan đến công chức làm công tác hộ tịch để xác định những nguyên tắc, tiêu chuẩn, điều kiện nhất định đảm bảo nguồn nhân lực thực hiện hoạt động chuyên môn, nghiệp vụ. Đồng thời quy định cụ thể về trách nhiệm của UBND cấp</w:t>
      </w:r>
      <w:r w:rsidRPr="005C5A10">
        <w:rPr>
          <w:rFonts w:ascii="Times New Roman" w:eastAsia="Times New Roman" w:hAnsi="Times New Roman" w:cs="Times New Roman"/>
          <w:noProof/>
          <w:sz w:val="28"/>
          <w:szCs w:val="28"/>
          <w:lang w:val="en-US"/>
        </w:rPr>
        <w:t xml:space="preserve"> tỉnh trong việc quản lý biên chế công chức thực hiện công tác hộ tịch ở cấp xã; bảo đảm cơ sở vật chất để phục vụ hoạt động đăng ký và quản lý hộ tịch.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Việc thực hiện kiểm tra, giám sát, Dự thảo Luật Hộ tịch (sửa đổi) đã quy định trách nhiệm của Chính</w:t>
      </w:r>
      <w:r w:rsidRPr="005C5A10">
        <w:rPr>
          <w:rFonts w:ascii="Times New Roman" w:eastAsia="Times New Roman" w:hAnsi="Times New Roman" w:cs="Times New Roman"/>
          <w:noProof/>
          <w:sz w:val="28"/>
          <w:szCs w:val="28"/>
          <w:lang w:val="en-US"/>
        </w:rPr>
        <w:t xml:space="preserve"> phủ và UBND tỉnh, thành phố trực thuộc Trung ương thực hiện hoạt động thanh tra, kiểm tra về đăng ký và quản lý hộ tịch.</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Nhìn chung, quy định về phân quyền tại Dự thảo Luật Hộ tịch (sửa đổi) đã đảm bảo phù hợp và toàn diện.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3. Việc ứng dụng, thúc đẩy phá</w:t>
      </w:r>
      <w:r w:rsidRPr="005C5A10">
        <w:rPr>
          <w:rFonts w:ascii="Times New Roman" w:eastAsia="Times New Roman" w:hAnsi="Times New Roman" w:cs="Times New Roman"/>
          <w:b/>
          <w:bCs/>
          <w:noProof/>
          <w:sz w:val="28"/>
          <w:szCs w:val="28"/>
          <w:lang w:val="en-US"/>
        </w:rPr>
        <w:t>t triển khoa học, công nghệ, đổi mới sáng tạo và chuyển đổi số</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Dự thảo Luật Hộ tịch (sửa đổi) quy định chương riêng về Cơ sở dữ liệu hộ tịch trong đó có mục xây dựng, cập nhật, khai thác, sử dụng Cơ sở dữ liệu hộ tịch điện tử. Theo đó, nội dung các điều, k</w:t>
      </w:r>
      <w:r w:rsidRPr="005C5A10">
        <w:rPr>
          <w:rFonts w:ascii="Times New Roman" w:eastAsia="Times New Roman" w:hAnsi="Times New Roman" w:cs="Times New Roman"/>
          <w:noProof/>
          <w:sz w:val="28"/>
          <w:szCs w:val="28"/>
          <w:lang w:val="en-US"/>
        </w:rPr>
        <w:t>hoản tập trung quy định một cách toàn diện về việc xây dựng, hoàn thiện, thu thập thông tin, kết nối, khai thác thông tin…bảo đảm dữ liệu hộ tịch “đúng, đủ, sạch, sống, thống nhất, dùng chung”, liên thông với Cơ sở dữ liệu quốc gia về dân cư và các cơ sở d</w:t>
      </w:r>
      <w:r w:rsidRPr="005C5A10">
        <w:rPr>
          <w:rFonts w:ascii="Times New Roman" w:eastAsia="Times New Roman" w:hAnsi="Times New Roman" w:cs="Times New Roman"/>
          <w:noProof/>
          <w:sz w:val="28"/>
          <w:szCs w:val="28"/>
          <w:lang w:val="en-US"/>
        </w:rPr>
        <w:t xml:space="preserve">ữ liệu chuyên ngành khác.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Về tính hợp pháp, các quy định tại Dự thảo Luật Hộ tịch (sửa đổi) cơ bản phù hợp với một số văn bản chỉ đạo về việc ứng dụng, thúc đẩy phát triển khoa học, công nghệ, đổi mới sáng tạo và chuyển đổi số như: Nghị quyết số 57-NQ/TW </w:t>
      </w:r>
      <w:r w:rsidRPr="005C5A10">
        <w:rPr>
          <w:rFonts w:ascii="Times New Roman" w:eastAsia="Times New Roman" w:hAnsi="Times New Roman" w:cs="Times New Roman"/>
          <w:noProof/>
          <w:sz w:val="28"/>
          <w:szCs w:val="28"/>
          <w:lang w:val="en-US"/>
        </w:rPr>
        <w:t>ngày 22/12/2024 của Bộ Chính trị về đột phá phát triển khoa học, công nghệ, đổi mới sáng tạo và chuyển đổi số quốc gia; Kế hoạch số 02-KH/BCĐTW ngày 19/6/2025 của Ban chỉ đạo Trung ương về phát triển khoa học, công nghệ, đổi mới sáng tạo và chuyển đổi số.</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Về tính hợp lý, hiện nay Cơ sở dữ liệu hộ tịch điện tử đã kết nối, chia sẻ với Cơ sở dữ liệu quốc gia về dân cư và thực hiện 11/11 dịch vụ đồng bộ dữ liệu với Cơ sở dữ liệu quốc gia về dân cư. Ngoài ra, theo Nghị quyết số 66.7/2025/NQ-CP của Chính phủ quy </w:t>
      </w:r>
      <w:r w:rsidRPr="005C5A10">
        <w:rPr>
          <w:rFonts w:ascii="Times New Roman" w:eastAsia="Times New Roman" w:hAnsi="Times New Roman" w:cs="Times New Roman"/>
          <w:noProof/>
          <w:sz w:val="28"/>
          <w:szCs w:val="28"/>
          <w:lang w:val="en-US"/>
        </w:rPr>
        <w:t xml:space="preserve">định về cắt giảm, đơn giản hoá TTHC dựa trên dữ liệu thì thông tin trên Cơ sở dữ liệu hộ tịch điện tử được khai thác và sử dụng thay thế các giấy tờ: Giấy khai sinh hoặc Trích lục khai sinh; Giấy chứng nhận kết hôn; Giấy xác nhận tình trạng hôn nhân; Giấy </w:t>
      </w:r>
      <w:r w:rsidRPr="005C5A10">
        <w:rPr>
          <w:rFonts w:ascii="Times New Roman" w:eastAsia="Times New Roman" w:hAnsi="Times New Roman" w:cs="Times New Roman"/>
          <w:noProof/>
          <w:sz w:val="28"/>
          <w:szCs w:val="28"/>
          <w:lang w:val="en-US"/>
        </w:rPr>
        <w:t>chứng tử hoặc Giấy khai tử hoặc Trích lục khai tử. Vì vậy, đối tượng sử dụng, khai thác thông tin từ Cơ sở dữ liệu hộ tịch điện tử không chỉ là Bộ Tư pháp, các Sở Tư pháp, các cơ quan đăng ký hộ tịch mà còn là Bộ Công an, Bộ Y tế, Bộ Tài chính…và nhiều bộ,</w:t>
      </w:r>
      <w:r w:rsidRPr="005C5A10">
        <w:rPr>
          <w:rFonts w:ascii="Times New Roman" w:eastAsia="Times New Roman" w:hAnsi="Times New Roman" w:cs="Times New Roman"/>
          <w:noProof/>
          <w:sz w:val="28"/>
          <w:szCs w:val="28"/>
          <w:lang w:val="en-US"/>
        </w:rPr>
        <w:t xml:space="preserve"> ngành có TTHC trong thành phần hồ sơ yêu cầu phải có các giấy tờ nêu trên. Đến thời điểm hiện nay, Cơ sở dữ liệu hộ tịch điện tử cũng sẵn sàng để kết nối, chia sẻ với các cơ sở dữ liệu khác. Do đó, việc quy định tại Dự thảo Luật Hộ tịch (sửa đổi) là thống</w:t>
      </w:r>
      <w:r w:rsidRPr="005C5A10">
        <w:rPr>
          <w:rFonts w:ascii="Times New Roman" w:eastAsia="Times New Roman" w:hAnsi="Times New Roman" w:cs="Times New Roman"/>
          <w:noProof/>
          <w:sz w:val="28"/>
          <w:szCs w:val="28"/>
          <w:lang w:val="en-US"/>
        </w:rPr>
        <w:t xml:space="preserve"> nhất, phù hợp với yêu cầu và điều kiện thực tiễn hiện nay.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 xml:space="preserve">Dự thảo Luật Hộ tịch (sửa đổi) đặt yêu cầu phát triển Cơ sở dữ liệu hộ tịch điện tử trở thành Cơ sở dữ liệu quốc gia để đảm bảo giá trị sử dụng của dữ liệu cũng như đảm bảo tính bảo mật, an toàn </w:t>
      </w:r>
      <w:r w:rsidRPr="005C5A10">
        <w:rPr>
          <w:rFonts w:ascii="Times New Roman" w:eastAsia="Times New Roman" w:hAnsi="Times New Roman" w:cs="Times New Roman"/>
          <w:noProof/>
          <w:sz w:val="28"/>
          <w:szCs w:val="28"/>
          <w:lang w:val="en-US"/>
        </w:rPr>
        <w:t>thông tin, dữ liệu thông tin cá nhân. Cũng thông qua việc nâng cấp lên Cơ sở dữ liệu quốc gia, hệ thống sẽ có khả năng được mở rộng, xử lý dữ liệu lớn hơn nên việc tra cứu thông tin để giải quyết các TTHC sẽ được đáp ứng kịp thời, việc giải quyết TTHC trên</w:t>
      </w:r>
      <w:r w:rsidRPr="005C5A10">
        <w:rPr>
          <w:rFonts w:ascii="Times New Roman" w:eastAsia="Times New Roman" w:hAnsi="Times New Roman" w:cs="Times New Roman"/>
          <w:noProof/>
          <w:sz w:val="28"/>
          <w:szCs w:val="28"/>
          <w:lang w:val="en-US"/>
        </w:rPr>
        <w:t xml:space="preserve"> nền tảng hệ thống cũng sẽ bảo đảm thông suốt, tránh tình trạng phải chờ đợi, qua đó làm giảm chí phí xã hội, mang lại lợi ích thiết thực cho người dân.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Về cơ chế phối hợp và tổ chức thực hiện, dự thảo Luật Hộ tịch (sửa đổi) cũng đã quy định bảo đảm cơ ch</w:t>
      </w:r>
      <w:r w:rsidRPr="005C5A10">
        <w:rPr>
          <w:rFonts w:ascii="Times New Roman" w:eastAsia="Times New Roman" w:hAnsi="Times New Roman" w:cs="Times New Roman"/>
          <w:noProof/>
          <w:sz w:val="28"/>
          <w:szCs w:val="28"/>
          <w:lang w:val="en-US"/>
        </w:rPr>
        <w:t>ế kết nối, chia sẻ thông tin giữa Cơ sở dữ liệu hộ tịch điện tử với Cơ sở dữ liệu quốc gia về dân cư, Cơ sở dữ liệu khác của bộ, ngành, địa phương cũng như quy định trách nhiệm của các cơ quan, cá nhân có liên quan (Chính phủ, UBND các cấp) trong việc cung</w:t>
      </w:r>
      <w:r w:rsidRPr="005C5A10">
        <w:rPr>
          <w:rFonts w:ascii="Times New Roman" w:eastAsia="Times New Roman" w:hAnsi="Times New Roman" w:cs="Times New Roman"/>
          <w:noProof/>
          <w:sz w:val="28"/>
          <w:szCs w:val="28"/>
          <w:lang w:val="en-US"/>
        </w:rPr>
        <w:t xml:space="preserve"> cấp, thu thập, cập nhật, điều chỉnh thông tin, tài liệu vào Cơ sở dữ liệu hộ tịch điện tử.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4. Việc bảo đảm bình đẳng giới</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Về cơ bản, các quy định trong Dự thảo Luật Hộ tịch sửa đổi phù hợp với yêu cầu bảo đảm quyền bình đẳng về cơ hội, điều kiện, năng lự</w:t>
      </w:r>
      <w:r w:rsidRPr="005C5A10">
        <w:rPr>
          <w:rFonts w:ascii="Times New Roman" w:eastAsia="Times New Roman" w:hAnsi="Times New Roman" w:cs="Times New Roman"/>
          <w:noProof/>
          <w:sz w:val="28"/>
          <w:szCs w:val="28"/>
          <w:lang w:val="en-US"/>
        </w:rPr>
        <w:t>c thụ hưởng các quyền, lợi ích của mỗi giới theo quy định của pháp luật Việt Nam và điều ước quốc tế có liên quan mà nước Cộng hòa xã hội chủ nghĩa Việt Nam là thành viên. Dự thảo Luật Hộ tịch (sửa đổi) không có quy định hạn chế quyền đăng ký hộ tịch của m</w:t>
      </w:r>
      <w:r w:rsidRPr="005C5A10">
        <w:rPr>
          <w:rFonts w:ascii="Times New Roman" w:eastAsia="Times New Roman" w:hAnsi="Times New Roman" w:cs="Times New Roman"/>
          <w:noProof/>
          <w:sz w:val="28"/>
          <w:szCs w:val="28"/>
          <w:lang w:val="en-US"/>
        </w:rPr>
        <w:t xml:space="preserve">ỗi giới, bất kỳ ai cũng có quyền bình đẳng như nhau khi thực hiện quyền và nghĩa vụ đăng ký hộ tịch.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5. Việc thực hiện chính sách dân tộc</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Dự thảo Luật Hộ tịch không quy định vấn đề đặc thù để đảm bảo thực hiện chính sách dân tộc cụ thể. Tuy nhiên, các quy</w:t>
      </w:r>
      <w:r w:rsidRPr="005C5A10">
        <w:rPr>
          <w:rFonts w:ascii="Times New Roman" w:eastAsia="Times New Roman" w:hAnsi="Times New Roman" w:cs="Times New Roman"/>
          <w:noProof/>
          <w:sz w:val="28"/>
          <w:szCs w:val="28"/>
          <w:lang w:val="en-US"/>
        </w:rPr>
        <w:t xml:space="preserve"> định tại Dự thảo hiện nay được đánh giá có sự phù hợp với nguyên tắc bình đẳng, đoàn kết, tôn trọng, giúp đỡ nhau cùng phát triển giữa các dân tộc; việc bảo đảm quyền và lợi ích hợp pháp của dân tộc; quyền bình đẳng giữa các dân tộc; giữ gìn bản sắc dân t</w:t>
      </w:r>
      <w:r w:rsidRPr="005C5A10">
        <w:rPr>
          <w:rFonts w:ascii="Times New Roman" w:eastAsia="Times New Roman" w:hAnsi="Times New Roman" w:cs="Times New Roman"/>
          <w:noProof/>
          <w:sz w:val="28"/>
          <w:szCs w:val="28"/>
          <w:lang w:val="en-US"/>
        </w:rPr>
        <w:t>ộc, phát huy phong tục, tập quán, truyền thống, văn hóa tốt đẹp của các dân tộc. Dự thảo Luật Hộ tịch (sửa đổi) quy định về việc xác định lại dân tộc và thay đổi thông tin dân tộc trong nội dung khai sinh đã đăng ký sau khi được nhận làm con nuôi hoặc chấm</w:t>
      </w:r>
      <w:r w:rsidRPr="005C5A10">
        <w:rPr>
          <w:rFonts w:ascii="Times New Roman" w:eastAsia="Times New Roman" w:hAnsi="Times New Roman" w:cs="Times New Roman"/>
          <w:noProof/>
          <w:sz w:val="28"/>
          <w:szCs w:val="28"/>
          <w:lang w:val="en-US"/>
        </w:rPr>
        <w:t xml:space="preserve"> dứt việc nuôi con nuôi là phù hợp và thống nhất với quy định của Bộ luật Dân sự và các văn bản quy phạm pháp luật khác có liên quan.</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noProof/>
          <w:sz w:val="28"/>
          <w:szCs w:val="28"/>
          <w:lang w:val="en-US"/>
        </w:rPr>
        <w:t>Ngoài ra, trong việc quy định phương thức tiếp nhận và trả kết quả giải quyết TTHC, Dự thảo Luật Hộ tịch cho phép người dâ</w:t>
      </w:r>
      <w:r w:rsidRPr="005C5A10">
        <w:rPr>
          <w:rFonts w:ascii="Times New Roman" w:eastAsia="Times New Roman" w:hAnsi="Times New Roman" w:cs="Times New Roman"/>
          <w:noProof/>
          <w:sz w:val="28"/>
          <w:szCs w:val="28"/>
          <w:lang w:val="en-US"/>
        </w:rPr>
        <w:t>n lựa chọn thực hiện TTHC trong lĩnh vực hộ tịch theo hình thức trực tuyến hoặc trực tiếp. Điều này là phù hợp với điều kiện kinh tế - xã hội của từng vùng, miền, phù hợp với nguyên tắc Nhà nước phục vụ nhân dân theo quy định tại Điều 8 Hiến pháp năm 2013.</w:t>
      </w:r>
      <w:r w:rsidRPr="005C5A10">
        <w:rPr>
          <w:rFonts w:ascii="Times New Roman" w:eastAsia="Times New Roman" w:hAnsi="Times New Roman" w:cs="Times New Roman"/>
          <w:noProof/>
          <w:sz w:val="28"/>
          <w:szCs w:val="28"/>
          <w:lang w:val="en-US"/>
        </w:rPr>
        <w:t xml:space="preserve"> Về mặt xã hội, người dân ở vùng sâu, vùng xa, trong đó có cả nhóm người dân tộc thiểu số có thể gặp khó khăn trong việc sử dụng dịch vụ công trực tuyến do hạn chế về thiết bị, đường truyền Internet hoặc kỹ năng số. Việc duy trì hình thức nộp hồ sơ trực ti</w:t>
      </w:r>
      <w:r w:rsidRPr="005C5A10">
        <w:rPr>
          <w:rFonts w:ascii="Times New Roman" w:eastAsia="Times New Roman" w:hAnsi="Times New Roman" w:cs="Times New Roman"/>
          <w:noProof/>
          <w:sz w:val="28"/>
          <w:szCs w:val="28"/>
          <w:lang w:val="en-US"/>
        </w:rPr>
        <w:t xml:space="preserve">ếp giúp đảm bảo khả năng tiếp cận quyền nhân thân cơ bản của một số nhóm yếu thế, trong đó có vùng đồng bào dân tộc thiểu số. </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b/>
          <w:bCs/>
          <w:noProof/>
          <w:sz w:val="28"/>
          <w:szCs w:val="28"/>
          <w:lang w:val="en-US"/>
        </w:rPr>
        <w:t>III. PHỤ LỤC</w:t>
      </w:r>
    </w:p>
    <w:p w:rsidR="00296487" w:rsidRPr="005C5A10"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5C5A10">
        <w:rPr>
          <w:rFonts w:ascii="Times New Roman" w:eastAsia="Times New Roman" w:hAnsi="Times New Roman" w:cs="Times New Roman"/>
          <w:i/>
          <w:iCs/>
          <w:noProof/>
          <w:sz w:val="28"/>
          <w:szCs w:val="28"/>
          <w:lang w:val="en-US"/>
        </w:rPr>
        <w:t>(Kèm theo Biểu mẫu đánh giá tác động thủ tục hành chính</w:t>
      </w:r>
      <w:r w:rsidRPr="005C5A10">
        <w:rPr>
          <w:rFonts w:ascii="Times New Roman" w:eastAsia="Times New Roman" w:hAnsi="Times New Roman" w:cs="Times New Roman"/>
          <w:i/>
          <w:iCs/>
          <w:noProof/>
          <w:sz w:val="28"/>
          <w:szCs w:val="28"/>
          <w:lang w:val="en-US"/>
        </w:rPr>
        <w:t>).</w:t>
      </w:r>
    </w:p>
    <w:p w:rsidR="00296487" w:rsidRPr="005C5A10" w:rsidRDefault="00296487">
      <w:pPr>
        <w:ind w:firstLine="567"/>
        <w:jc w:val="both"/>
        <w:rPr>
          <w:rFonts w:ascii="Times New Roman" w:eastAsia="Times New Roman" w:hAnsi="Times New Roman" w:cs="Times New Roman"/>
          <w:noProof/>
          <w:sz w:val="28"/>
          <w:szCs w:val="28"/>
          <w:lang w:val="en-US"/>
        </w:rPr>
      </w:pPr>
    </w:p>
    <w:sectPr w:rsidR="00296487" w:rsidRPr="005C5A10" w:rsidSect="0063540F">
      <w:headerReference w:type="default" r:id="rId8"/>
      <w:pgSz w:w="11906" w:h="16838"/>
      <w:pgMar w:top="1418" w:right="1134" w:bottom="1021" w:left="1701"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000" w:rsidRDefault="00A31090">
      <w:pPr>
        <w:spacing w:after="0" w:line="240" w:lineRule="auto"/>
      </w:pPr>
      <w:r>
        <w:separator/>
      </w:r>
    </w:p>
  </w:endnote>
  <w:endnote w:type="continuationSeparator" w:id="0">
    <w:p w:rsidR="00000000" w:rsidRDefault="00A310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ptos">
    <w:altName w:val="Times New Roman"/>
    <w:panose1 w:val="00000000000000000000"/>
    <w:charset w:val="00"/>
    <w:family w:val="roman"/>
    <w:notTrueType/>
    <w:pitch w:val="default"/>
  </w:font>
  <w:font w:name="Play">
    <w:charset w:val="00"/>
    <w:family w:val="auto"/>
    <w:pitch w:val="default"/>
    <w:embedRegular r:id="rId1" w:fontKey="{FDA0EAB3-2E80-4488-8BC7-71FA5085BAA1}"/>
  </w:font>
  <w:font w:name="Times New Roman">
    <w:panose1 w:val="02020603050405020304"/>
    <w:charset w:val="00"/>
    <w:family w:val="roman"/>
    <w:pitch w:val="variable"/>
    <w:sig w:usb0="E0002EFF" w:usb1="C000785B" w:usb2="00000009" w:usb3="00000000" w:csb0="000001FF" w:csb1="00000000"/>
  </w:font>
  <w:font w:name="Aptos Display">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embedRegular r:id="rId2" w:fontKey="{6DE10C9B-EB58-4062-AE6F-A768324D3305}"/>
  </w:font>
  <w:font w:name="Cambria">
    <w:panose1 w:val="02040503050406030204"/>
    <w:charset w:val="00"/>
    <w:family w:val="roman"/>
    <w:pitch w:val="variable"/>
    <w:sig w:usb0="E00006FF" w:usb1="420024FF" w:usb2="02000000" w:usb3="00000000" w:csb0="0000019F" w:csb1="00000000"/>
    <w:embedRegular r:id="rId3" w:fontKey="{52B79BDA-30E1-4EB2-BD38-2DAF06E4CBCE}"/>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000" w:rsidRDefault="00A31090">
      <w:pPr>
        <w:spacing w:after="0" w:line="240" w:lineRule="auto"/>
      </w:pPr>
      <w:r>
        <w:separator/>
      </w:r>
    </w:p>
  </w:footnote>
  <w:footnote w:type="continuationSeparator" w:id="0">
    <w:p w:rsidR="00000000" w:rsidRDefault="00A31090">
      <w:pPr>
        <w:spacing w:after="0" w:line="240" w:lineRule="auto"/>
      </w:pPr>
      <w:r>
        <w:continuationSeparator/>
      </w:r>
    </w:p>
  </w:footnote>
  <w:footnote w:id="1">
    <w:p w:rsidR="00296487" w:rsidRPr="005C5A10" w:rsidRDefault="00A31090">
      <w:pPr>
        <w:pBdr>
          <w:top w:val="nil"/>
          <w:left w:val="nil"/>
          <w:bottom w:val="nil"/>
          <w:right w:val="nil"/>
          <w:between w:val="nil"/>
        </w:pBdr>
        <w:spacing w:after="0" w:line="240" w:lineRule="auto"/>
        <w:jc w:val="both"/>
        <w:rPr>
          <w:rFonts w:ascii="Times New Roman" w:eastAsia="Times New Roman" w:hAnsi="Times New Roman" w:cs="Times New Roman"/>
          <w:noProof/>
          <w:color w:val="000000"/>
          <w:sz w:val="20"/>
          <w:szCs w:val="20"/>
          <w:lang w:val="en-US"/>
        </w:rPr>
      </w:pPr>
      <w:r w:rsidRPr="005C5A10">
        <w:rPr>
          <w:rStyle w:val="FootnoteReference"/>
          <w:noProof/>
          <w:lang w:val="en-US"/>
        </w:rPr>
        <w:footnoteRef/>
      </w:r>
      <w:r w:rsidRPr="005C5A10">
        <w:rPr>
          <w:rFonts w:ascii="Times New Roman" w:eastAsia="Times New Roman" w:hAnsi="Times New Roman" w:cs="Times New Roman"/>
          <w:noProof/>
          <w:color w:val="000000"/>
          <w:sz w:val="20"/>
          <w:szCs w:val="20"/>
          <w:lang w:val="en-US"/>
        </w:rPr>
        <w:t xml:space="preserve"> Số liệu trung bình dựa trên kết quả giải quyết TTHC theo báo cáo tổng kết thi hành Luật Hộ tịch (giai đoạn 2016-2024)</w:t>
      </w:r>
    </w:p>
  </w:footnote>
  <w:footnote w:id="2">
    <w:p w:rsidR="00296487" w:rsidRPr="005C5A10" w:rsidRDefault="00A31090">
      <w:pPr>
        <w:pBdr>
          <w:top w:val="nil"/>
          <w:left w:val="nil"/>
          <w:bottom w:val="nil"/>
          <w:right w:val="nil"/>
          <w:between w:val="nil"/>
        </w:pBdr>
        <w:spacing w:after="0" w:line="240" w:lineRule="auto"/>
        <w:rPr>
          <w:rFonts w:ascii="Times New Roman" w:eastAsia="Times New Roman" w:hAnsi="Times New Roman" w:cs="Times New Roman"/>
          <w:noProof/>
          <w:color w:val="000000"/>
          <w:sz w:val="20"/>
          <w:szCs w:val="20"/>
          <w:lang w:val="en-US"/>
        </w:rPr>
      </w:pPr>
      <w:r w:rsidRPr="005C5A10">
        <w:rPr>
          <w:rStyle w:val="FootnoteReference"/>
          <w:noProof/>
          <w:lang w:val="en-US"/>
        </w:rPr>
        <w:footnoteRef/>
      </w:r>
      <w:r w:rsidRPr="005C5A10">
        <w:rPr>
          <w:rFonts w:ascii="Times New Roman" w:eastAsia="Times New Roman" w:hAnsi="Times New Roman" w:cs="Times New Roman"/>
          <w:noProof/>
          <w:color w:val="000000"/>
          <w:sz w:val="20"/>
          <w:szCs w:val="20"/>
          <w:lang w:val="en-US"/>
        </w:rPr>
        <w:t xml:space="preserve"> Tương tự như trên.</w:t>
      </w:r>
    </w:p>
  </w:footnote>
  <w:footnote w:id="3">
    <w:p w:rsidR="00296487" w:rsidRDefault="00A31090">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sidRPr="005C5A10">
        <w:rPr>
          <w:rStyle w:val="FootnoteReference"/>
          <w:noProof/>
          <w:lang w:val="en-US"/>
        </w:rPr>
        <w:footnoteRef/>
      </w:r>
      <w:r w:rsidRPr="005C5A10">
        <w:rPr>
          <w:rFonts w:ascii="Times New Roman" w:eastAsia="Times New Roman" w:hAnsi="Times New Roman" w:cs="Times New Roman"/>
          <w:noProof/>
          <w:color w:val="000000"/>
          <w:sz w:val="20"/>
          <w:szCs w:val="20"/>
          <w:lang w:val="en-US"/>
        </w:rPr>
        <w:t xml:space="preserve"> Tương tự như trên.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6487" w:rsidRDefault="00A31090">
    <w:pPr>
      <w:pBdr>
        <w:top w:val="nil"/>
        <w:left w:val="nil"/>
        <w:bottom w:val="nil"/>
        <w:right w:val="nil"/>
        <w:between w:val="nil"/>
      </w:pBdr>
      <w:tabs>
        <w:tab w:val="center" w:pos="4680"/>
        <w:tab w:val="right" w:pos="9360"/>
      </w:tabs>
      <w:jc w:val="center"/>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sidR="005C5A10">
      <w:rPr>
        <w:rFonts w:ascii="Times New Roman" w:eastAsia="Times New Roman" w:hAnsi="Times New Roman" w:cs="Times New Roman"/>
        <w:color w:val="000000"/>
      </w:rPr>
      <w:fldChar w:fldCharType="separate"/>
    </w:r>
    <w:r>
      <w:rPr>
        <w:rFonts w:ascii="Times New Roman" w:eastAsia="Times New Roman" w:hAnsi="Times New Roman" w:cs="Times New Roman"/>
        <w:noProof/>
        <w:color w:val="000000"/>
      </w:rPr>
      <w:t>2</w:t>
    </w:r>
    <w:r>
      <w:rPr>
        <w:rFonts w:ascii="Times New Roman" w:eastAsia="Times New Roman" w:hAnsi="Times New Roman" w:cs="Times New Roman"/>
        <w:color w:val="000000"/>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296487"/>
    <w:rsid w:val="00193D48"/>
    <w:rsid w:val="00296487"/>
    <w:rsid w:val="005C5A10"/>
    <w:rsid w:val="0063540F"/>
    <w:rsid w:val="006C063A"/>
    <w:rsid w:val="00A31090"/>
    <w:rsid w:val="00B632EF"/>
    <w:rsid w:val="00EF51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ptos" w:eastAsia="Aptos" w:hAnsi="Aptos" w:cs="Aptos"/>
        <w:sz w:val="24"/>
        <w:szCs w:val="24"/>
        <w:lang w:val="en" w:eastAsia="en-US" w:bidi="ar-SA"/>
      </w:rPr>
    </w:rPrDefault>
    <w:pPrDefault>
      <w:pPr>
        <w:spacing w:after="160" w:line="27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pPr>
      <w:keepNext/>
      <w:keepLines/>
      <w:spacing w:before="160" w:after="80"/>
      <w:outlineLvl w:val="2"/>
    </w:pPr>
    <w:rPr>
      <w:color w:val="0F4761"/>
      <w:sz w:val="28"/>
      <w:szCs w:val="28"/>
    </w:rPr>
  </w:style>
  <w:style w:type="paragraph" w:styleId="Heading4">
    <w:name w:val="heading 4"/>
    <w:basedOn w:val="Normal"/>
    <w:next w:val="Normal"/>
    <w:pPr>
      <w:keepNext/>
      <w:keepLines/>
      <w:spacing w:before="80" w:after="40"/>
      <w:outlineLvl w:val="3"/>
    </w:pPr>
    <w:rPr>
      <w:i/>
      <w:iCs/>
      <w:color w:val="0F4761"/>
    </w:rPr>
  </w:style>
  <w:style w:type="paragraph" w:styleId="Heading5">
    <w:name w:val="heading 5"/>
    <w:basedOn w:val="Normal"/>
    <w:next w:val="Normal"/>
    <w:pPr>
      <w:keepNext/>
      <w:keepLines/>
      <w:spacing w:before="80" w:after="40"/>
      <w:outlineLvl w:val="4"/>
    </w:pPr>
    <w:rPr>
      <w:color w:val="0F4761"/>
    </w:rPr>
  </w:style>
  <w:style w:type="paragraph" w:styleId="Heading6">
    <w:name w:val="heading 6"/>
    <w:basedOn w:val="Normal"/>
    <w:next w:val="Normal"/>
    <w:pPr>
      <w:keepNext/>
      <w:keepLines/>
      <w:spacing w:before="40" w:after="0"/>
      <w:outlineLvl w:val="5"/>
    </w:pPr>
    <w:rPr>
      <w:i/>
      <w:iCs/>
      <w:color w:val="595959"/>
    </w:rPr>
  </w:style>
  <w:style w:type="paragraph" w:styleId="Heading7">
    <w:name w:val="heading 7"/>
    <w:basedOn w:val="Normal"/>
    <w:next w:val="Normal"/>
    <w:qFormat/>
    <w:pPr>
      <w:keepNext/>
      <w:keepLines/>
      <w:suppressAutoHyphens/>
      <w:spacing w:before="40" w:after="0"/>
      <w:ind w:leftChars="-1" w:left="-1" w:hangingChars="1" w:hanging="1"/>
      <w:textDirection w:val="btLr"/>
      <w:textAlignment w:val="top"/>
      <w:outlineLvl w:val="6"/>
    </w:pPr>
    <w:rPr>
      <w:color w:val="595959"/>
      <w:kern w:val="2"/>
      <w:position w:val="-1"/>
      <w:lang w:val="en-US"/>
    </w:rPr>
  </w:style>
  <w:style w:type="paragraph" w:styleId="Heading8">
    <w:name w:val="heading 8"/>
    <w:basedOn w:val="Normal"/>
    <w:next w:val="Normal"/>
    <w:qFormat/>
    <w:pPr>
      <w:keepNext/>
      <w:keepLines/>
      <w:suppressAutoHyphens/>
      <w:spacing w:after="0"/>
      <w:ind w:leftChars="-1" w:left="-1" w:hangingChars="1" w:hanging="1"/>
      <w:textDirection w:val="btLr"/>
      <w:textAlignment w:val="top"/>
      <w:outlineLvl w:val="7"/>
    </w:pPr>
    <w:rPr>
      <w:i/>
      <w:iCs/>
      <w:color w:val="272727"/>
      <w:kern w:val="2"/>
      <w:position w:val="-1"/>
      <w:lang w:val="en-US"/>
    </w:rPr>
  </w:style>
  <w:style w:type="paragraph" w:styleId="Heading9">
    <w:name w:val="heading 9"/>
    <w:basedOn w:val="Normal"/>
    <w:next w:val="Normal"/>
    <w:qFormat/>
    <w:pPr>
      <w:keepNext/>
      <w:keepLines/>
      <w:suppressAutoHyphens/>
      <w:spacing w:after="0"/>
      <w:ind w:leftChars="-1" w:left="-1" w:hangingChars="1" w:hanging="1"/>
      <w:textDirection w:val="btLr"/>
      <w:textAlignment w:val="top"/>
      <w:outlineLvl w:val="8"/>
    </w:pPr>
    <w:rPr>
      <w:color w:val="272727"/>
      <w:kern w:val="2"/>
      <w:position w:val="-1"/>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spacing w:after="80" w:line="240" w:lineRule="auto"/>
    </w:pPr>
    <w:rPr>
      <w:rFonts w:ascii="Play" w:eastAsia="Play" w:hAnsi="Play" w:cs="Play"/>
      <w:sz w:val="56"/>
      <w:szCs w:val="56"/>
    </w:rPr>
  </w:style>
  <w:style w:type="character" w:customStyle="1" w:styleId="Heading1Char">
    <w:name w:val="Heading 1 Char"/>
    <w:rPr>
      <w:rFonts w:ascii="Aptos Display" w:eastAsia="Times New Roman" w:hAnsi="Aptos Display" w:cs="Times New Roman"/>
      <w:color w:val="0F4761"/>
      <w:w w:val="100"/>
      <w:position w:val="-1"/>
      <w:sz w:val="40"/>
      <w:szCs w:val="40"/>
      <w:effect w:val="none"/>
      <w:vertAlign w:val="baseline"/>
      <w:cs w:val="0"/>
      <w:em w:val="none"/>
    </w:rPr>
  </w:style>
  <w:style w:type="character" w:customStyle="1" w:styleId="Heading2Char">
    <w:name w:val="Heading 2 Char"/>
    <w:rPr>
      <w:rFonts w:ascii="Aptos Display" w:eastAsia="Times New Roman" w:hAnsi="Aptos Display" w:cs="Times New Roman"/>
      <w:color w:val="0F4761"/>
      <w:w w:val="100"/>
      <w:position w:val="-1"/>
      <w:sz w:val="32"/>
      <w:szCs w:val="32"/>
      <w:effect w:val="none"/>
      <w:vertAlign w:val="baseline"/>
      <w:cs w:val="0"/>
      <w:em w:val="none"/>
    </w:rPr>
  </w:style>
  <w:style w:type="character" w:customStyle="1" w:styleId="Heading3Char">
    <w:name w:val="Heading 3 Char"/>
    <w:rPr>
      <w:color w:val="0F4761"/>
      <w:w w:val="100"/>
      <w:position w:val="-1"/>
      <w:sz w:val="28"/>
      <w:szCs w:val="28"/>
      <w:effect w:val="none"/>
      <w:vertAlign w:val="baseline"/>
      <w:cs w:val="0"/>
      <w:em w:val="none"/>
    </w:rPr>
  </w:style>
  <w:style w:type="character" w:customStyle="1" w:styleId="Heading4Char">
    <w:name w:val="Heading 4 Char"/>
    <w:rPr>
      <w:i/>
      <w:iCs/>
      <w:color w:val="0F4761"/>
      <w:w w:val="100"/>
      <w:position w:val="-1"/>
      <w:effect w:val="none"/>
      <w:vertAlign w:val="baseline"/>
      <w:cs w:val="0"/>
      <w:em w:val="none"/>
    </w:rPr>
  </w:style>
  <w:style w:type="character" w:customStyle="1" w:styleId="Heading5Char">
    <w:name w:val="Heading 5 Char"/>
    <w:rPr>
      <w:color w:val="0F4761"/>
      <w:w w:val="100"/>
      <w:position w:val="-1"/>
      <w:effect w:val="none"/>
      <w:vertAlign w:val="baseline"/>
      <w:cs w:val="0"/>
      <w:em w:val="none"/>
    </w:rPr>
  </w:style>
  <w:style w:type="character" w:customStyle="1" w:styleId="Heading6Char">
    <w:name w:val="Heading 6 Char"/>
    <w:rPr>
      <w:i/>
      <w:iCs/>
      <w:color w:val="595959"/>
      <w:w w:val="100"/>
      <w:position w:val="-1"/>
      <w:effect w:val="none"/>
      <w:vertAlign w:val="baseline"/>
      <w:cs w:val="0"/>
      <w:em w:val="none"/>
    </w:rPr>
  </w:style>
  <w:style w:type="character" w:customStyle="1" w:styleId="Heading7Char">
    <w:name w:val="Heading 7 Char"/>
    <w:rPr>
      <w:color w:val="595959"/>
      <w:w w:val="100"/>
      <w:position w:val="-1"/>
      <w:effect w:val="none"/>
      <w:vertAlign w:val="baseline"/>
      <w:cs w:val="0"/>
      <w:em w:val="none"/>
    </w:rPr>
  </w:style>
  <w:style w:type="character" w:customStyle="1" w:styleId="Heading8Char">
    <w:name w:val="Heading 8 Char"/>
    <w:rPr>
      <w:i/>
      <w:iCs/>
      <w:color w:val="272727"/>
      <w:w w:val="100"/>
      <w:position w:val="-1"/>
      <w:effect w:val="none"/>
      <w:vertAlign w:val="baseline"/>
      <w:cs w:val="0"/>
      <w:em w:val="none"/>
    </w:rPr>
  </w:style>
  <w:style w:type="character" w:customStyle="1" w:styleId="Heading9Char">
    <w:name w:val="Heading 9 Char"/>
    <w:rPr>
      <w:color w:val="272727"/>
      <w:w w:val="100"/>
      <w:position w:val="-1"/>
      <w:effect w:val="none"/>
      <w:vertAlign w:val="baseline"/>
      <w:cs w:val="0"/>
      <w:em w:val="none"/>
    </w:rPr>
  </w:style>
  <w:style w:type="character" w:customStyle="1" w:styleId="TitleChar">
    <w:name w:val="Title Char"/>
    <w:rPr>
      <w:rFonts w:ascii="Aptos Display" w:eastAsia="Times New Roman" w:hAnsi="Aptos Display" w:cs="Times New Roman"/>
      <w:spacing w:val="-10"/>
      <w:w w:val="100"/>
      <w:kern w:val="28"/>
      <w:position w:val="-1"/>
      <w:sz w:val="56"/>
      <w:szCs w:val="56"/>
      <w:effect w:val="none"/>
      <w:vertAlign w:val="baseline"/>
      <w:cs w:val="0"/>
      <w:em w:val="none"/>
    </w:rPr>
  </w:style>
  <w:style w:type="character" w:customStyle="1" w:styleId="SubtitleChar">
    <w:name w:val="Subtitle Char"/>
    <w:rPr>
      <w:color w:val="595959"/>
      <w:spacing w:val="15"/>
      <w:w w:val="100"/>
      <w:position w:val="-1"/>
      <w:sz w:val="28"/>
      <w:szCs w:val="28"/>
      <w:effect w:val="none"/>
      <w:vertAlign w:val="baseline"/>
      <w:cs w:val="0"/>
      <w:em w:val="none"/>
    </w:rPr>
  </w:style>
  <w:style w:type="paragraph" w:styleId="Quote">
    <w:name w:val="Quote"/>
    <w:basedOn w:val="Normal"/>
    <w:next w:val="Normal"/>
    <w:pPr>
      <w:suppressAutoHyphens/>
      <w:spacing w:before="160"/>
      <w:ind w:leftChars="-1" w:left="-1" w:hangingChars="1" w:hanging="1"/>
      <w:jc w:val="center"/>
      <w:textDirection w:val="btLr"/>
      <w:textAlignment w:val="top"/>
      <w:outlineLvl w:val="0"/>
    </w:pPr>
    <w:rPr>
      <w:i/>
      <w:iCs/>
      <w:color w:val="404040"/>
      <w:kern w:val="2"/>
      <w:position w:val="-1"/>
      <w:lang w:val="en-US"/>
    </w:rPr>
  </w:style>
  <w:style w:type="character" w:customStyle="1" w:styleId="QuoteChar">
    <w:name w:val="Quote Char"/>
    <w:rPr>
      <w:i/>
      <w:iCs/>
      <w:color w:val="404040"/>
      <w:w w:val="100"/>
      <w:position w:val="-1"/>
      <w:effect w:val="none"/>
      <w:vertAlign w:val="baseline"/>
      <w:cs w:val="0"/>
      <w:em w:val="none"/>
    </w:rPr>
  </w:style>
  <w:style w:type="paragraph" w:styleId="ListParagraph">
    <w:name w:val="List Paragraph"/>
    <w:basedOn w:val="Normal"/>
    <w:pPr>
      <w:suppressAutoHyphens/>
      <w:ind w:leftChars="-1" w:left="720" w:hangingChars="1" w:hanging="1"/>
      <w:contextualSpacing/>
      <w:textDirection w:val="btLr"/>
      <w:textAlignment w:val="top"/>
      <w:outlineLvl w:val="0"/>
    </w:pPr>
    <w:rPr>
      <w:kern w:val="2"/>
      <w:position w:val="-1"/>
      <w:lang w:val="en-US"/>
    </w:rPr>
  </w:style>
  <w:style w:type="character" w:styleId="IntenseEmphasis">
    <w:name w:val="Intense Emphasis"/>
    <w:rPr>
      <w:i/>
      <w:iCs/>
      <w:color w:val="0F4761"/>
      <w:w w:val="100"/>
      <w:position w:val="-1"/>
      <w:effect w:val="none"/>
      <w:vertAlign w:val="baseline"/>
      <w:cs w:val="0"/>
      <w:em w:val="none"/>
    </w:rPr>
  </w:style>
  <w:style w:type="paragraph" w:styleId="IntenseQuote">
    <w:name w:val="Intense Quote"/>
    <w:basedOn w:val="Normal"/>
    <w:next w:val="Normal"/>
    <w:pPr>
      <w:pBdr>
        <w:top w:val="single" w:sz="4" w:space="10" w:color="0F4761"/>
        <w:bottom w:val="single" w:sz="4" w:space="10" w:color="0F4761"/>
      </w:pBdr>
      <w:suppressAutoHyphens/>
      <w:spacing w:before="360" w:after="360"/>
      <w:ind w:leftChars="-1" w:left="864" w:right="864" w:hangingChars="1" w:hanging="1"/>
      <w:jc w:val="center"/>
      <w:textDirection w:val="btLr"/>
      <w:textAlignment w:val="top"/>
      <w:outlineLvl w:val="0"/>
    </w:pPr>
    <w:rPr>
      <w:i/>
      <w:iCs/>
      <w:color w:val="0F4761"/>
      <w:kern w:val="2"/>
      <w:position w:val="-1"/>
      <w:lang w:val="en-US"/>
    </w:rPr>
  </w:style>
  <w:style w:type="character" w:customStyle="1" w:styleId="IntenseQuoteChar">
    <w:name w:val="Intense Quote Char"/>
    <w:rPr>
      <w:i/>
      <w:iCs/>
      <w:color w:val="0F4761"/>
      <w:w w:val="100"/>
      <w:position w:val="-1"/>
      <w:effect w:val="none"/>
      <w:vertAlign w:val="baseline"/>
      <w:cs w:val="0"/>
      <w:em w:val="none"/>
    </w:rPr>
  </w:style>
  <w:style w:type="character" w:styleId="IntenseReference">
    <w:name w:val="Intense Reference"/>
    <w:rPr>
      <w:b/>
      <w:bCs/>
      <w:smallCaps/>
      <w:color w:val="0F4761"/>
      <w:spacing w:val="5"/>
      <w:w w:val="100"/>
      <w:position w:val="-1"/>
      <w:effect w:val="none"/>
      <w:vertAlign w:val="baseline"/>
      <w:cs w:val="0"/>
      <w:em w:val="none"/>
    </w:rPr>
  </w:style>
  <w:style w:type="table" w:styleId="TableGrid">
    <w:name w:val="Table Grid"/>
    <w:basedOn w:val="TableNormal"/>
    <w:pPr>
      <w:suppressAutoHyphens/>
      <w:spacing w:after="0" w:line="240" w:lineRule="auto"/>
      <w:ind w:leftChars="-1" w:left="-1" w:hangingChars="1" w:hanging="1"/>
      <w:textDirection w:val="btLr"/>
      <w:textAlignment w:val="top"/>
      <w:outlineLvl w:val="0"/>
    </w:pPr>
    <w:rPr>
      <w:position w:val="-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qFormat/>
    <w:pPr>
      <w:tabs>
        <w:tab w:val="center" w:pos="4680"/>
        <w:tab w:val="right" w:pos="9360"/>
      </w:tabs>
      <w:suppressAutoHyphens/>
      <w:ind w:leftChars="-1" w:left="-1" w:hangingChars="1" w:hanging="1"/>
      <w:textDirection w:val="btLr"/>
      <w:textAlignment w:val="top"/>
      <w:outlineLvl w:val="0"/>
    </w:pPr>
    <w:rPr>
      <w:kern w:val="2"/>
      <w:position w:val="-1"/>
      <w:lang w:val="en-US"/>
    </w:rPr>
  </w:style>
  <w:style w:type="character" w:customStyle="1" w:styleId="HeaderChar">
    <w:name w:val="Header Char"/>
    <w:rPr>
      <w:w w:val="100"/>
      <w:kern w:val="2"/>
      <w:position w:val="-1"/>
      <w:sz w:val="24"/>
      <w:szCs w:val="24"/>
      <w:effect w:val="none"/>
      <w:vertAlign w:val="baseline"/>
      <w:cs w:val="0"/>
      <w:em w:val="none"/>
    </w:rPr>
  </w:style>
  <w:style w:type="paragraph" w:styleId="Footer">
    <w:name w:val="footer"/>
    <w:basedOn w:val="Normal"/>
    <w:qFormat/>
    <w:pPr>
      <w:tabs>
        <w:tab w:val="center" w:pos="4680"/>
        <w:tab w:val="right" w:pos="9360"/>
      </w:tabs>
      <w:suppressAutoHyphens/>
      <w:ind w:leftChars="-1" w:left="-1" w:hangingChars="1" w:hanging="1"/>
      <w:textDirection w:val="btLr"/>
      <w:textAlignment w:val="top"/>
      <w:outlineLvl w:val="0"/>
    </w:pPr>
    <w:rPr>
      <w:kern w:val="2"/>
      <w:position w:val="-1"/>
      <w:lang w:val="en-US"/>
    </w:rPr>
  </w:style>
  <w:style w:type="character" w:customStyle="1" w:styleId="FooterChar">
    <w:name w:val="Footer Char"/>
    <w:rPr>
      <w:w w:val="100"/>
      <w:kern w:val="2"/>
      <w:position w:val="-1"/>
      <w:sz w:val="24"/>
      <w:szCs w:val="24"/>
      <w:effect w:val="none"/>
      <w:vertAlign w:val="baseline"/>
      <w:cs w:val="0"/>
      <w:em w:val="none"/>
    </w:rPr>
  </w:style>
  <w:style w:type="paragraph" w:styleId="FootnoteText">
    <w:name w:val="footnote text"/>
    <w:basedOn w:val="Normal"/>
    <w:qFormat/>
    <w:pPr>
      <w:suppressAutoHyphens/>
      <w:ind w:leftChars="-1" w:left="-1" w:hangingChars="1" w:hanging="1"/>
      <w:textDirection w:val="btLr"/>
      <w:textAlignment w:val="top"/>
      <w:outlineLvl w:val="0"/>
    </w:pPr>
    <w:rPr>
      <w:kern w:val="2"/>
      <w:position w:val="-1"/>
      <w:sz w:val="20"/>
      <w:szCs w:val="20"/>
      <w:lang w:val="en-US"/>
    </w:rPr>
  </w:style>
  <w:style w:type="character" w:customStyle="1" w:styleId="FootnoteTextChar">
    <w:name w:val="Footnote Text Char"/>
    <w:rPr>
      <w:w w:val="100"/>
      <w:kern w:val="2"/>
      <w:position w:val="-1"/>
      <w:effect w:val="none"/>
      <w:vertAlign w:val="baseline"/>
      <w:cs w:val="0"/>
      <w:em w:val="none"/>
    </w:rPr>
  </w:style>
  <w:style w:type="character" w:styleId="FootnoteReference">
    <w:name w:val="footnote reference"/>
    <w:qFormat/>
    <w:rPr>
      <w:w w:val="100"/>
      <w:position w:val="-1"/>
      <w:effect w:val="none"/>
      <w:vertAlign w:val="superscript"/>
      <w:cs w:val="0"/>
      <w:em w:val="none"/>
    </w:rPr>
  </w:style>
  <w:style w:type="paragraph" w:styleId="Subtitle">
    <w:name w:val="Subtitle"/>
    <w:basedOn w:val="Normal"/>
    <w:next w:val="Normal"/>
    <w:rPr>
      <w:color w:val="595959"/>
      <w:sz w:val="28"/>
      <w:szCs w:val="28"/>
    </w:r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ptos" w:eastAsia="Aptos" w:hAnsi="Aptos" w:cs="Aptos"/>
        <w:sz w:val="24"/>
        <w:szCs w:val="24"/>
        <w:lang w:val="en" w:eastAsia="en-US" w:bidi="ar-SA"/>
      </w:rPr>
    </w:rPrDefault>
    <w:pPrDefault>
      <w:pPr>
        <w:spacing w:after="160" w:line="27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pPr>
      <w:keepNext/>
      <w:keepLines/>
      <w:spacing w:before="160" w:after="80"/>
      <w:outlineLvl w:val="2"/>
    </w:pPr>
    <w:rPr>
      <w:color w:val="0F4761"/>
      <w:sz w:val="28"/>
      <w:szCs w:val="28"/>
    </w:rPr>
  </w:style>
  <w:style w:type="paragraph" w:styleId="Heading4">
    <w:name w:val="heading 4"/>
    <w:basedOn w:val="Normal"/>
    <w:next w:val="Normal"/>
    <w:pPr>
      <w:keepNext/>
      <w:keepLines/>
      <w:spacing w:before="80" w:after="40"/>
      <w:outlineLvl w:val="3"/>
    </w:pPr>
    <w:rPr>
      <w:i/>
      <w:iCs/>
      <w:color w:val="0F4761"/>
    </w:rPr>
  </w:style>
  <w:style w:type="paragraph" w:styleId="Heading5">
    <w:name w:val="heading 5"/>
    <w:basedOn w:val="Normal"/>
    <w:next w:val="Normal"/>
    <w:pPr>
      <w:keepNext/>
      <w:keepLines/>
      <w:spacing w:before="80" w:after="40"/>
      <w:outlineLvl w:val="4"/>
    </w:pPr>
    <w:rPr>
      <w:color w:val="0F4761"/>
    </w:rPr>
  </w:style>
  <w:style w:type="paragraph" w:styleId="Heading6">
    <w:name w:val="heading 6"/>
    <w:basedOn w:val="Normal"/>
    <w:next w:val="Normal"/>
    <w:pPr>
      <w:keepNext/>
      <w:keepLines/>
      <w:spacing w:before="40" w:after="0"/>
      <w:outlineLvl w:val="5"/>
    </w:pPr>
    <w:rPr>
      <w:i/>
      <w:iCs/>
      <w:color w:val="595959"/>
    </w:rPr>
  </w:style>
  <w:style w:type="paragraph" w:styleId="Heading7">
    <w:name w:val="heading 7"/>
    <w:basedOn w:val="Normal"/>
    <w:next w:val="Normal"/>
    <w:qFormat/>
    <w:pPr>
      <w:keepNext/>
      <w:keepLines/>
      <w:suppressAutoHyphens/>
      <w:spacing w:before="40" w:after="0"/>
      <w:ind w:leftChars="-1" w:left="-1" w:hangingChars="1" w:hanging="1"/>
      <w:textDirection w:val="btLr"/>
      <w:textAlignment w:val="top"/>
      <w:outlineLvl w:val="6"/>
    </w:pPr>
    <w:rPr>
      <w:color w:val="595959"/>
      <w:kern w:val="2"/>
      <w:position w:val="-1"/>
      <w:lang w:val="en-US"/>
    </w:rPr>
  </w:style>
  <w:style w:type="paragraph" w:styleId="Heading8">
    <w:name w:val="heading 8"/>
    <w:basedOn w:val="Normal"/>
    <w:next w:val="Normal"/>
    <w:qFormat/>
    <w:pPr>
      <w:keepNext/>
      <w:keepLines/>
      <w:suppressAutoHyphens/>
      <w:spacing w:after="0"/>
      <w:ind w:leftChars="-1" w:left="-1" w:hangingChars="1" w:hanging="1"/>
      <w:textDirection w:val="btLr"/>
      <w:textAlignment w:val="top"/>
      <w:outlineLvl w:val="7"/>
    </w:pPr>
    <w:rPr>
      <w:i/>
      <w:iCs/>
      <w:color w:val="272727"/>
      <w:kern w:val="2"/>
      <w:position w:val="-1"/>
      <w:lang w:val="en-US"/>
    </w:rPr>
  </w:style>
  <w:style w:type="paragraph" w:styleId="Heading9">
    <w:name w:val="heading 9"/>
    <w:basedOn w:val="Normal"/>
    <w:next w:val="Normal"/>
    <w:qFormat/>
    <w:pPr>
      <w:keepNext/>
      <w:keepLines/>
      <w:suppressAutoHyphens/>
      <w:spacing w:after="0"/>
      <w:ind w:leftChars="-1" w:left="-1" w:hangingChars="1" w:hanging="1"/>
      <w:textDirection w:val="btLr"/>
      <w:textAlignment w:val="top"/>
      <w:outlineLvl w:val="8"/>
    </w:pPr>
    <w:rPr>
      <w:color w:val="272727"/>
      <w:kern w:val="2"/>
      <w:position w:val="-1"/>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spacing w:after="80" w:line="240" w:lineRule="auto"/>
    </w:pPr>
    <w:rPr>
      <w:rFonts w:ascii="Play" w:eastAsia="Play" w:hAnsi="Play" w:cs="Play"/>
      <w:sz w:val="56"/>
      <w:szCs w:val="56"/>
    </w:rPr>
  </w:style>
  <w:style w:type="character" w:customStyle="1" w:styleId="Heading1Char">
    <w:name w:val="Heading 1 Char"/>
    <w:rPr>
      <w:rFonts w:ascii="Aptos Display" w:eastAsia="Times New Roman" w:hAnsi="Aptos Display" w:cs="Times New Roman"/>
      <w:color w:val="0F4761"/>
      <w:w w:val="100"/>
      <w:position w:val="-1"/>
      <w:sz w:val="40"/>
      <w:szCs w:val="40"/>
      <w:effect w:val="none"/>
      <w:vertAlign w:val="baseline"/>
      <w:cs w:val="0"/>
      <w:em w:val="none"/>
    </w:rPr>
  </w:style>
  <w:style w:type="character" w:customStyle="1" w:styleId="Heading2Char">
    <w:name w:val="Heading 2 Char"/>
    <w:rPr>
      <w:rFonts w:ascii="Aptos Display" w:eastAsia="Times New Roman" w:hAnsi="Aptos Display" w:cs="Times New Roman"/>
      <w:color w:val="0F4761"/>
      <w:w w:val="100"/>
      <w:position w:val="-1"/>
      <w:sz w:val="32"/>
      <w:szCs w:val="32"/>
      <w:effect w:val="none"/>
      <w:vertAlign w:val="baseline"/>
      <w:cs w:val="0"/>
      <w:em w:val="none"/>
    </w:rPr>
  </w:style>
  <w:style w:type="character" w:customStyle="1" w:styleId="Heading3Char">
    <w:name w:val="Heading 3 Char"/>
    <w:rPr>
      <w:color w:val="0F4761"/>
      <w:w w:val="100"/>
      <w:position w:val="-1"/>
      <w:sz w:val="28"/>
      <w:szCs w:val="28"/>
      <w:effect w:val="none"/>
      <w:vertAlign w:val="baseline"/>
      <w:cs w:val="0"/>
      <w:em w:val="none"/>
    </w:rPr>
  </w:style>
  <w:style w:type="character" w:customStyle="1" w:styleId="Heading4Char">
    <w:name w:val="Heading 4 Char"/>
    <w:rPr>
      <w:i/>
      <w:iCs/>
      <w:color w:val="0F4761"/>
      <w:w w:val="100"/>
      <w:position w:val="-1"/>
      <w:effect w:val="none"/>
      <w:vertAlign w:val="baseline"/>
      <w:cs w:val="0"/>
      <w:em w:val="none"/>
    </w:rPr>
  </w:style>
  <w:style w:type="character" w:customStyle="1" w:styleId="Heading5Char">
    <w:name w:val="Heading 5 Char"/>
    <w:rPr>
      <w:color w:val="0F4761"/>
      <w:w w:val="100"/>
      <w:position w:val="-1"/>
      <w:effect w:val="none"/>
      <w:vertAlign w:val="baseline"/>
      <w:cs w:val="0"/>
      <w:em w:val="none"/>
    </w:rPr>
  </w:style>
  <w:style w:type="character" w:customStyle="1" w:styleId="Heading6Char">
    <w:name w:val="Heading 6 Char"/>
    <w:rPr>
      <w:i/>
      <w:iCs/>
      <w:color w:val="595959"/>
      <w:w w:val="100"/>
      <w:position w:val="-1"/>
      <w:effect w:val="none"/>
      <w:vertAlign w:val="baseline"/>
      <w:cs w:val="0"/>
      <w:em w:val="none"/>
    </w:rPr>
  </w:style>
  <w:style w:type="character" w:customStyle="1" w:styleId="Heading7Char">
    <w:name w:val="Heading 7 Char"/>
    <w:rPr>
      <w:color w:val="595959"/>
      <w:w w:val="100"/>
      <w:position w:val="-1"/>
      <w:effect w:val="none"/>
      <w:vertAlign w:val="baseline"/>
      <w:cs w:val="0"/>
      <w:em w:val="none"/>
    </w:rPr>
  </w:style>
  <w:style w:type="character" w:customStyle="1" w:styleId="Heading8Char">
    <w:name w:val="Heading 8 Char"/>
    <w:rPr>
      <w:i/>
      <w:iCs/>
      <w:color w:val="272727"/>
      <w:w w:val="100"/>
      <w:position w:val="-1"/>
      <w:effect w:val="none"/>
      <w:vertAlign w:val="baseline"/>
      <w:cs w:val="0"/>
      <w:em w:val="none"/>
    </w:rPr>
  </w:style>
  <w:style w:type="character" w:customStyle="1" w:styleId="Heading9Char">
    <w:name w:val="Heading 9 Char"/>
    <w:rPr>
      <w:color w:val="272727"/>
      <w:w w:val="100"/>
      <w:position w:val="-1"/>
      <w:effect w:val="none"/>
      <w:vertAlign w:val="baseline"/>
      <w:cs w:val="0"/>
      <w:em w:val="none"/>
    </w:rPr>
  </w:style>
  <w:style w:type="character" w:customStyle="1" w:styleId="TitleChar">
    <w:name w:val="Title Char"/>
    <w:rPr>
      <w:rFonts w:ascii="Aptos Display" w:eastAsia="Times New Roman" w:hAnsi="Aptos Display" w:cs="Times New Roman"/>
      <w:spacing w:val="-10"/>
      <w:w w:val="100"/>
      <w:kern w:val="28"/>
      <w:position w:val="-1"/>
      <w:sz w:val="56"/>
      <w:szCs w:val="56"/>
      <w:effect w:val="none"/>
      <w:vertAlign w:val="baseline"/>
      <w:cs w:val="0"/>
      <w:em w:val="none"/>
    </w:rPr>
  </w:style>
  <w:style w:type="character" w:customStyle="1" w:styleId="SubtitleChar">
    <w:name w:val="Subtitle Char"/>
    <w:rPr>
      <w:color w:val="595959"/>
      <w:spacing w:val="15"/>
      <w:w w:val="100"/>
      <w:position w:val="-1"/>
      <w:sz w:val="28"/>
      <w:szCs w:val="28"/>
      <w:effect w:val="none"/>
      <w:vertAlign w:val="baseline"/>
      <w:cs w:val="0"/>
      <w:em w:val="none"/>
    </w:rPr>
  </w:style>
  <w:style w:type="paragraph" w:styleId="Quote">
    <w:name w:val="Quote"/>
    <w:basedOn w:val="Normal"/>
    <w:next w:val="Normal"/>
    <w:pPr>
      <w:suppressAutoHyphens/>
      <w:spacing w:before="160"/>
      <w:ind w:leftChars="-1" w:left="-1" w:hangingChars="1" w:hanging="1"/>
      <w:jc w:val="center"/>
      <w:textDirection w:val="btLr"/>
      <w:textAlignment w:val="top"/>
      <w:outlineLvl w:val="0"/>
    </w:pPr>
    <w:rPr>
      <w:i/>
      <w:iCs/>
      <w:color w:val="404040"/>
      <w:kern w:val="2"/>
      <w:position w:val="-1"/>
      <w:lang w:val="en-US"/>
    </w:rPr>
  </w:style>
  <w:style w:type="character" w:customStyle="1" w:styleId="QuoteChar">
    <w:name w:val="Quote Char"/>
    <w:rPr>
      <w:i/>
      <w:iCs/>
      <w:color w:val="404040"/>
      <w:w w:val="100"/>
      <w:position w:val="-1"/>
      <w:effect w:val="none"/>
      <w:vertAlign w:val="baseline"/>
      <w:cs w:val="0"/>
      <w:em w:val="none"/>
    </w:rPr>
  </w:style>
  <w:style w:type="paragraph" w:styleId="ListParagraph">
    <w:name w:val="List Paragraph"/>
    <w:basedOn w:val="Normal"/>
    <w:pPr>
      <w:suppressAutoHyphens/>
      <w:ind w:leftChars="-1" w:left="720" w:hangingChars="1" w:hanging="1"/>
      <w:contextualSpacing/>
      <w:textDirection w:val="btLr"/>
      <w:textAlignment w:val="top"/>
      <w:outlineLvl w:val="0"/>
    </w:pPr>
    <w:rPr>
      <w:kern w:val="2"/>
      <w:position w:val="-1"/>
      <w:lang w:val="en-US"/>
    </w:rPr>
  </w:style>
  <w:style w:type="character" w:styleId="IntenseEmphasis">
    <w:name w:val="Intense Emphasis"/>
    <w:rPr>
      <w:i/>
      <w:iCs/>
      <w:color w:val="0F4761"/>
      <w:w w:val="100"/>
      <w:position w:val="-1"/>
      <w:effect w:val="none"/>
      <w:vertAlign w:val="baseline"/>
      <w:cs w:val="0"/>
      <w:em w:val="none"/>
    </w:rPr>
  </w:style>
  <w:style w:type="paragraph" w:styleId="IntenseQuote">
    <w:name w:val="Intense Quote"/>
    <w:basedOn w:val="Normal"/>
    <w:next w:val="Normal"/>
    <w:pPr>
      <w:pBdr>
        <w:top w:val="single" w:sz="4" w:space="10" w:color="0F4761"/>
        <w:bottom w:val="single" w:sz="4" w:space="10" w:color="0F4761"/>
      </w:pBdr>
      <w:suppressAutoHyphens/>
      <w:spacing w:before="360" w:after="360"/>
      <w:ind w:leftChars="-1" w:left="864" w:right="864" w:hangingChars="1" w:hanging="1"/>
      <w:jc w:val="center"/>
      <w:textDirection w:val="btLr"/>
      <w:textAlignment w:val="top"/>
      <w:outlineLvl w:val="0"/>
    </w:pPr>
    <w:rPr>
      <w:i/>
      <w:iCs/>
      <w:color w:val="0F4761"/>
      <w:kern w:val="2"/>
      <w:position w:val="-1"/>
      <w:lang w:val="en-US"/>
    </w:rPr>
  </w:style>
  <w:style w:type="character" w:customStyle="1" w:styleId="IntenseQuoteChar">
    <w:name w:val="Intense Quote Char"/>
    <w:rPr>
      <w:i/>
      <w:iCs/>
      <w:color w:val="0F4761"/>
      <w:w w:val="100"/>
      <w:position w:val="-1"/>
      <w:effect w:val="none"/>
      <w:vertAlign w:val="baseline"/>
      <w:cs w:val="0"/>
      <w:em w:val="none"/>
    </w:rPr>
  </w:style>
  <w:style w:type="character" w:styleId="IntenseReference">
    <w:name w:val="Intense Reference"/>
    <w:rPr>
      <w:b/>
      <w:bCs/>
      <w:smallCaps/>
      <w:color w:val="0F4761"/>
      <w:spacing w:val="5"/>
      <w:w w:val="100"/>
      <w:position w:val="-1"/>
      <w:effect w:val="none"/>
      <w:vertAlign w:val="baseline"/>
      <w:cs w:val="0"/>
      <w:em w:val="none"/>
    </w:rPr>
  </w:style>
  <w:style w:type="table" w:styleId="TableGrid">
    <w:name w:val="Table Grid"/>
    <w:basedOn w:val="TableNormal"/>
    <w:pPr>
      <w:suppressAutoHyphens/>
      <w:spacing w:after="0" w:line="240" w:lineRule="auto"/>
      <w:ind w:leftChars="-1" w:left="-1" w:hangingChars="1" w:hanging="1"/>
      <w:textDirection w:val="btLr"/>
      <w:textAlignment w:val="top"/>
      <w:outlineLvl w:val="0"/>
    </w:pPr>
    <w:rPr>
      <w:position w:val="-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qFormat/>
    <w:pPr>
      <w:tabs>
        <w:tab w:val="center" w:pos="4680"/>
        <w:tab w:val="right" w:pos="9360"/>
      </w:tabs>
      <w:suppressAutoHyphens/>
      <w:ind w:leftChars="-1" w:left="-1" w:hangingChars="1" w:hanging="1"/>
      <w:textDirection w:val="btLr"/>
      <w:textAlignment w:val="top"/>
      <w:outlineLvl w:val="0"/>
    </w:pPr>
    <w:rPr>
      <w:kern w:val="2"/>
      <w:position w:val="-1"/>
      <w:lang w:val="en-US"/>
    </w:rPr>
  </w:style>
  <w:style w:type="character" w:customStyle="1" w:styleId="HeaderChar">
    <w:name w:val="Header Char"/>
    <w:rPr>
      <w:w w:val="100"/>
      <w:kern w:val="2"/>
      <w:position w:val="-1"/>
      <w:sz w:val="24"/>
      <w:szCs w:val="24"/>
      <w:effect w:val="none"/>
      <w:vertAlign w:val="baseline"/>
      <w:cs w:val="0"/>
      <w:em w:val="none"/>
    </w:rPr>
  </w:style>
  <w:style w:type="paragraph" w:styleId="Footer">
    <w:name w:val="footer"/>
    <w:basedOn w:val="Normal"/>
    <w:qFormat/>
    <w:pPr>
      <w:tabs>
        <w:tab w:val="center" w:pos="4680"/>
        <w:tab w:val="right" w:pos="9360"/>
      </w:tabs>
      <w:suppressAutoHyphens/>
      <w:ind w:leftChars="-1" w:left="-1" w:hangingChars="1" w:hanging="1"/>
      <w:textDirection w:val="btLr"/>
      <w:textAlignment w:val="top"/>
      <w:outlineLvl w:val="0"/>
    </w:pPr>
    <w:rPr>
      <w:kern w:val="2"/>
      <w:position w:val="-1"/>
      <w:lang w:val="en-US"/>
    </w:rPr>
  </w:style>
  <w:style w:type="character" w:customStyle="1" w:styleId="FooterChar">
    <w:name w:val="Footer Char"/>
    <w:rPr>
      <w:w w:val="100"/>
      <w:kern w:val="2"/>
      <w:position w:val="-1"/>
      <w:sz w:val="24"/>
      <w:szCs w:val="24"/>
      <w:effect w:val="none"/>
      <w:vertAlign w:val="baseline"/>
      <w:cs w:val="0"/>
      <w:em w:val="none"/>
    </w:rPr>
  </w:style>
  <w:style w:type="paragraph" w:styleId="FootnoteText">
    <w:name w:val="footnote text"/>
    <w:basedOn w:val="Normal"/>
    <w:qFormat/>
    <w:pPr>
      <w:suppressAutoHyphens/>
      <w:ind w:leftChars="-1" w:left="-1" w:hangingChars="1" w:hanging="1"/>
      <w:textDirection w:val="btLr"/>
      <w:textAlignment w:val="top"/>
      <w:outlineLvl w:val="0"/>
    </w:pPr>
    <w:rPr>
      <w:kern w:val="2"/>
      <w:position w:val="-1"/>
      <w:sz w:val="20"/>
      <w:szCs w:val="20"/>
      <w:lang w:val="en-US"/>
    </w:rPr>
  </w:style>
  <w:style w:type="character" w:customStyle="1" w:styleId="FootnoteTextChar">
    <w:name w:val="Footnote Text Char"/>
    <w:rPr>
      <w:w w:val="100"/>
      <w:kern w:val="2"/>
      <w:position w:val="-1"/>
      <w:effect w:val="none"/>
      <w:vertAlign w:val="baseline"/>
      <w:cs w:val="0"/>
      <w:em w:val="none"/>
    </w:rPr>
  </w:style>
  <w:style w:type="character" w:styleId="FootnoteReference">
    <w:name w:val="footnote reference"/>
    <w:qFormat/>
    <w:rPr>
      <w:w w:val="100"/>
      <w:position w:val="-1"/>
      <w:effect w:val="none"/>
      <w:vertAlign w:val="superscript"/>
      <w:cs w:val="0"/>
      <w:em w:val="none"/>
    </w:rPr>
  </w:style>
  <w:style w:type="paragraph" w:styleId="Subtitle">
    <w:name w:val="Subtitle"/>
    <w:basedOn w:val="Normal"/>
    <w:next w:val="Normal"/>
    <w:rPr>
      <w:color w:val="595959"/>
      <w:sz w:val="28"/>
      <w:szCs w:val="28"/>
    </w:r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VvsmXQlGS7FS7dJD569H9hKImA==">CgMxLjAyD2lkLnZieWtwMDVzY2ExNTgAciExRUhDMkU3NGx2c2ZuS2RQNmNWNnpRSjFyR3piS1NObzM=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14</Pages>
  <Words>4914</Words>
  <Characters>28014</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32863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 Nam</dc:creator>
  <cp:lastModifiedBy>Vu Thanh Van</cp:lastModifiedBy>
  <cp:revision>5</cp:revision>
  <cp:lastPrinted>2026-01-09T09:02:00Z</cp:lastPrinted>
  <dcterms:created xsi:type="dcterms:W3CDTF">2026-01-09T08:58:00Z</dcterms:created>
  <dcterms:modified xsi:type="dcterms:W3CDTF">2026-01-09T09:44:00Z</dcterms:modified>
</cp:coreProperties>
</file>